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Calibri" w:hAnsi="Calibri"/>
          <w:b/>
          <w:color w:val="1F4D78"/>
          <w:sz w:val="40"/>
        </w:rPr>
        <w:t>CIERRE DE DEPURACIÓN DOCUMENTAL</w:t>
      </w:r>
    </w:p>
    <w:p>
      <w:pPr>
        <w:jc w:val="center"/>
      </w:pPr>
      <w:r>
        <w:rPr>
          <w:rFonts w:ascii="Calibri" w:hAnsi="Calibri"/>
          <w:b/>
          <w:color w:val="000000"/>
          <w:sz w:val="30"/>
        </w:rPr>
        <w:t>Sistema de Gestión de Riesgos LA/FT - IHSS</w:t>
      </w:r>
    </w:p>
    <w:p>
      <w:pPr>
        <w:jc w:val="center"/>
      </w:pPr>
      <w:r>
        <w:rPr>
          <w:rFonts w:ascii="Calibri" w:hAnsi="Calibri"/>
          <w:color w:val="596473"/>
          <w:sz w:val="26"/>
        </w:rPr>
        <w:t>Después del cierre funcional de Monitoreo de Listas</w:t>
      </w:r>
    </w:p>
    <w:tbl>
      <w:tblPr>
        <w:tblStyle w:val="TableGrid"/>
        <w:tblW w:type="auto" w:w="0"/>
        <w:tblLook w:firstColumn="1" w:firstRow="1" w:lastColumn="0" w:lastRow="0" w:noHBand="0" w:noVBand="1" w:val="04A0"/>
      </w:tblPr>
      <w:tblGrid>
        <w:gridCol w:w="10080"/>
      </w:tblGrid>
      <w:tr>
        <w:tc>
          <w:tcPr>
            <w:tcW w:type="dxa" w:w="10080"/>
            <w:shd w:fill="E8EEF5"/>
          </w:tcPr>
          <w:p>
            <w:r/>
            <w:r>
              <w:rPr>
                <w:rFonts w:ascii="Calibri" w:hAnsi="Calibri"/>
                <w:b/>
                <w:color w:val="1F4D78"/>
                <w:sz w:val="18"/>
              </w:rPr>
              <w:t>Propósito</w:t>
            </w:r>
            <w:r>
              <w:br/>
            </w:r>
            <w:r>
              <w:rPr>
                <w:rFonts w:ascii="Calibri" w:hAnsi="Calibri"/>
                <w:b w:val="0"/>
                <w:color w:val="000000"/>
                <w:sz w:val="18"/>
              </w:rPr>
              <w:t>Determinar qué información de los documentos sueltos sigue aportando valor, qué ya quedó absorbido por el cierre de Monitoreo de Listas y qué debe separarse para el Módulo 2 de Matrices de Riesgos.</w:t>
            </w:r>
          </w:p>
        </w:tc>
      </w:tr>
    </w:tbl>
    <w:p/>
    <w:tbl>
      <w:tblPr>
        <w:tblStyle w:val="TableGrid"/>
        <w:tblW w:type="auto" w:w="0"/>
        <w:jc w:val="center"/>
        <w:tblLayout w:type="fixed"/>
        <w:tblLook w:firstColumn="1" w:firstRow="1" w:lastColumn="0" w:lastRow="0" w:noHBand="0" w:noVBand="1" w:val="04A0"/>
      </w:tblPr>
      <w:tblGrid>
        <w:gridCol w:w="5040"/>
        <w:gridCol w:w="5040"/>
      </w:tblGrid>
      <w:tr>
        <w:tc>
          <w:tcPr>
            <w:tcW w:type="dxa" w:w="2376"/>
            <w:shd w:fill="E8EEF5"/>
            <w:vAlign w:val="center"/>
          </w:tcPr>
          <w:p>
            <w:pPr>
              <w:spacing w:after="0"/>
            </w:pPr>
            <w:r/>
            <w:r>
              <w:rPr>
                <w:rFonts w:ascii="Calibri" w:hAnsi="Calibri"/>
                <w:b/>
                <w:color w:val="000000"/>
                <w:sz w:val="17"/>
              </w:rPr>
              <w:t>Campo</w:t>
            </w:r>
          </w:p>
        </w:tc>
        <w:tc>
          <w:tcPr>
            <w:tcW w:type="dxa" w:w="7272"/>
            <w:shd w:fill="E8EEF5"/>
            <w:vAlign w:val="center"/>
          </w:tcPr>
          <w:p>
            <w:pPr>
              <w:spacing w:after="0"/>
            </w:pPr>
            <w:r/>
            <w:r>
              <w:rPr>
                <w:rFonts w:ascii="Calibri" w:hAnsi="Calibri"/>
                <w:b/>
                <w:color w:val="000000"/>
                <w:sz w:val="17"/>
              </w:rPr>
              <w:t>Detalle</w:t>
            </w:r>
          </w:p>
        </w:tc>
      </w:tr>
      <w:tr>
        <w:tc>
          <w:tcPr>
            <w:tcW w:type="dxa" w:w="5040"/>
            <w:vAlign w:val="center"/>
          </w:tcPr>
          <w:p>
            <w:pPr>
              <w:spacing w:after="0"/>
            </w:pPr>
            <w:r/>
            <w:r>
              <w:rPr>
                <w:rFonts w:ascii="Calibri" w:hAnsi="Calibri"/>
                <w:b w:val="0"/>
                <w:color w:val="000000"/>
                <w:sz w:val="16"/>
              </w:rPr>
              <w:t>Idioma documental</w:t>
            </w:r>
          </w:p>
        </w:tc>
        <w:tc>
          <w:tcPr>
            <w:tcW w:type="dxa" w:w="5040"/>
            <w:vAlign w:val="center"/>
          </w:tcPr>
          <w:p>
            <w:pPr>
              <w:spacing w:after="0"/>
            </w:pPr>
            <w:r/>
            <w:r>
              <w:rPr>
                <w:rFonts w:ascii="Calibri" w:hAnsi="Calibri"/>
                <w:b w:val="0"/>
                <w:color w:val="000000"/>
                <w:sz w:val="16"/>
              </w:rPr>
              <w:t>Español Latinoamérica.</w:t>
            </w:r>
          </w:p>
        </w:tc>
      </w:tr>
      <w:tr>
        <w:tc>
          <w:tcPr>
            <w:tcW w:type="dxa" w:w="5040"/>
            <w:vAlign w:val="center"/>
          </w:tcPr>
          <w:p>
            <w:pPr>
              <w:spacing w:after="0"/>
            </w:pPr>
            <w:r/>
            <w:r>
              <w:rPr>
                <w:rFonts w:ascii="Calibri" w:hAnsi="Calibri"/>
                <w:b w:val="0"/>
                <w:color w:val="000000"/>
                <w:sz w:val="16"/>
              </w:rPr>
              <w:t>Estilo</w:t>
            </w:r>
          </w:p>
        </w:tc>
        <w:tc>
          <w:tcPr>
            <w:tcW w:type="dxa" w:w="5040"/>
            <w:vAlign w:val="center"/>
          </w:tcPr>
          <w:p>
            <w:pPr>
              <w:spacing w:after="0"/>
            </w:pPr>
            <w:r/>
            <w:r>
              <w:rPr>
                <w:rFonts w:ascii="Calibri" w:hAnsi="Calibri"/>
                <w:b w:val="0"/>
                <w:color w:val="000000"/>
                <w:sz w:val="16"/>
              </w:rPr>
              <w:t>Cuerpo en negro; títulos, subtítulos y resaltantes en azul.</w:t>
            </w:r>
          </w:p>
        </w:tc>
      </w:tr>
      <w:tr>
        <w:tc>
          <w:tcPr>
            <w:tcW w:type="dxa" w:w="5040"/>
            <w:vAlign w:val="center"/>
          </w:tcPr>
          <w:p>
            <w:pPr>
              <w:spacing w:after="0"/>
            </w:pPr>
            <w:r/>
            <w:r>
              <w:rPr>
                <w:rFonts w:ascii="Calibri" w:hAnsi="Calibri"/>
                <w:b w:val="0"/>
                <w:color w:val="000000"/>
                <w:sz w:val="16"/>
              </w:rPr>
              <w:t>Fecha</w:t>
            </w:r>
          </w:p>
        </w:tc>
        <w:tc>
          <w:tcPr>
            <w:tcW w:type="dxa" w:w="5040"/>
            <w:vAlign w:val="center"/>
          </w:tcPr>
          <w:p>
            <w:pPr>
              <w:spacing w:after="0"/>
            </w:pPr>
            <w:r/>
            <w:r>
              <w:rPr>
                <w:rFonts w:ascii="Calibri" w:hAnsi="Calibri"/>
                <w:b w:val="0"/>
                <w:color w:val="000000"/>
                <w:sz w:val="16"/>
              </w:rPr>
              <w:t>25 de junio de 2026.</w:t>
            </w:r>
          </w:p>
        </w:tc>
      </w:tr>
      <w:tr>
        <w:tc>
          <w:tcPr>
            <w:tcW w:type="dxa" w:w="5040"/>
            <w:vAlign w:val="center"/>
          </w:tcPr>
          <w:p>
            <w:pPr>
              <w:spacing w:after="0"/>
            </w:pPr>
            <w:r/>
            <w:r>
              <w:rPr>
                <w:rFonts w:ascii="Calibri" w:hAnsi="Calibri"/>
                <w:b w:val="0"/>
                <w:color w:val="000000"/>
                <w:sz w:val="16"/>
              </w:rPr>
              <w:t>Repositorio</w:t>
            </w:r>
          </w:p>
        </w:tc>
        <w:tc>
          <w:tcPr>
            <w:tcW w:type="dxa" w:w="5040"/>
            <w:vAlign w:val="center"/>
          </w:tcPr>
          <w:p>
            <w:pPr>
              <w:spacing w:after="0"/>
            </w:pPr>
            <w:r/>
            <w:r>
              <w:rPr>
                <w:rFonts w:ascii="Calibri" w:hAnsi="Calibri"/>
                <w:b w:val="0"/>
                <w:color w:val="000000"/>
                <w:sz w:val="16"/>
              </w:rPr>
              <w:t>C:\RIESGO_LAVADO</w:t>
            </w:r>
          </w:p>
        </w:tc>
      </w:tr>
    </w:tbl>
    <w:p/>
    <w:p>
      <w:r>
        <w:br w:type="page"/>
      </w:r>
    </w:p>
    <w:p>
      <w:pPr>
        <w:pStyle w:val="Heading1"/>
        <w:spacing w:before="240" w:after="120"/>
      </w:pPr>
      <w:r>
        <w:rPr>
          <w:rFonts w:ascii="Calibri" w:hAnsi="Calibri"/>
          <w:b/>
          <w:color w:val="1F4D78"/>
          <w:sz w:val="32"/>
        </w:rPr>
        <w:t>1. Conclusión ejecutiva</w:t>
      </w:r>
    </w:p>
    <w:p>
      <w:pPr>
        <w:spacing w:after="120" w:line="264" w:lineRule="auto"/>
      </w:pPr>
      <w:r>
        <w:rPr>
          <w:rFonts w:ascii="Calibri" w:hAnsi="Calibri"/>
          <w:b w:val="0"/>
          <w:color w:val="000000"/>
          <w:sz w:val="21"/>
        </w:rPr>
        <w:t>La información relacionada con el Módulo de Monitoreo de Listas ya quedó consolidada en el documento único de cierre funcional ubicado en la carpeta Monitoreo de Listas. Por eso, los documentos sueltos que hablan de seguimiento, evidencias, origen del registro, motivo de eliminación, PDF/Excel y observaciones de Monitoreo ya no deben mantenerse como documentos operativos separados.</w:t>
      </w:r>
    </w:p>
    <w:p>
      <w:pPr>
        <w:spacing w:after="120" w:line="264" w:lineRule="auto"/>
      </w:pPr>
      <w:r>
        <w:rPr>
          <w:rFonts w:ascii="Calibri" w:hAnsi="Calibri"/>
          <w:b w:val="0"/>
          <w:color w:val="000000"/>
          <w:sz w:val="21"/>
        </w:rPr>
        <w:t>La información realmente útil que queda fuera del cierre de Monitoreo corresponde a dos grupos: fuentes generales del proyecto y preparación del Módulo 2 de Matrices de Riesgos. Esa información se separa para no mezclar cierre de un módulo terminado con análisis de un módulo futuro.</w:t>
      </w:r>
    </w:p>
    <w:p>
      <w:pPr>
        <w:pStyle w:val="Heading1"/>
        <w:spacing w:before="240" w:after="120"/>
      </w:pPr>
      <w:r>
        <w:rPr>
          <w:rFonts w:ascii="Calibri" w:hAnsi="Calibri"/>
          <w:b/>
          <w:color w:val="1F4D78"/>
          <w:sz w:val="32"/>
        </w:rPr>
        <w:t>2. Clasificación de documentos revisados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2880"/>
            <w:shd w:fill="E8EEF5"/>
            <w:vAlign w:val="center"/>
          </w:tcPr>
          <w:p>
            <w:pPr>
              <w:spacing w:after="0"/>
            </w:pPr>
            <w:r/>
            <w:r>
              <w:rPr>
                <w:rFonts w:ascii="Calibri" w:hAnsi="Calibri"/>
                <w:b/>
                <w:color w:val="000000"/>
                <w:sz w:val="17"/>
              </w:rPr>
              <w:t>Documento</w:t>
            </w:r>
          </w:p>
        </w:tc>
        <w:tc>
          <w:tcPr>
            <w:tcW w:type="dxa" w:w="1728"/>
            <w:shd w:fill="E8EEF5"/>
            <w:vAlign w:val="center"/>
          </w:tcPr>
          <w:p>
            <w:pPr>
              <w:spacing w:after="0"/>
            </w:pPr>
            <w:r/>
            <w:r>
              <w:rPr>
                <w:rFonts w:ascii="Calibri" w:hAnsi="Calibri"/>
                <w:b/>
                <w:color w:val="000000"/>
                <w:sz w:val="17"/>
              </w:rPr>
              <w:t>Tipo</w:t>
            </w:r>
          </w:p>
        </w:tc>
        <w:tc>
          <w:tcPr>
            <w:tcW w:type="dxa" w:w="2232"/>
            <w:shd w:fill="E8EEF5"/>
            <w:vAlign w:val="center"/>
          </w:tcPr>
          <w:p>
            <w:pPr>
              <w:spacing w:after="0"/>
            </w:pPr>
            <w:r/>
            <w:r>
              <w:rPr>
                <w:rFonts w:ascii="Calibri" w:hAnsi="Calibri"/>
                <w:b/>
                <w:color w:val="000000"/>
                <w:sz w:val="17"/>
              </w:rPr>
              <w:t>Utilidad actual</w:t>
            </w:r>
          </w:p>
        </w:tc>
        <w:tc>
          <w:tcPr>
            <w:tcW w:type="dxa" w:w="2880"/>
            <w:shd w:fill="E8EEF5"/>
            <w:vAlign w:val="center"/>
          </w:tcPr>
          <w:p>
            <w:pPr>
              <w:spacing w:after="0"/>
            </w:pPr>
            <w:r/>
            <w:r>
              <w:rPr>
                <w:rFonts w:ascii="Calibri" w:hAnsi="Calibri"/>
                <w:b/>
                <w:color w:val="000000"/>
                <w:sz w:val="17"/>
              </w:rPr>
              <w:t>Decisión recomendada</w:t>
            </w:r>
          </w:p>
        </w:tc>
      </w:tr>
      <w:tr>
        <w:tc>
          <w:tcPr>
            <w:tcW w:type="dxa" w:w="2520"/>
            <w:vAlign w:val="center"/>
          </w:tcPr>
          <w:p>
            <w:pPr>
              <w:spacing w:after="0"/>
            </w:pPr>
            <w:r/>
            <w:r>
              <w:rPr>
                <w:rFonts w:ascii="Calibri" w:hAnsi="Calibri"/>
                <w:b w:val="0"/>
                <w:color w:val="000000"/>
                <w:sz w:val="16"/>
              </w:rPr>
              <w:t>Analisis_Modulo_Monitoreo_de_Listas.docx</w:t>
            </w:r>
          </w:p>
        </w:tc>
        <w:tc>
          <w:tcPr>
            <w:tcW w:type="dxa" w:w="2520"/>
            <w:vAlign w:val="center"/>
          </w:tcPr>
          <w:p>
            <w:pPr>
              <w:spacing w:after="0"/>
            </w:pPr>
            <w:r/>
            <w:r>
              <w:rPr>
                <w:rFonts w:ascii="Calibri" w:hAnsi="Calibri"/>
                <w:b w:val="0"/>
                <w:color w:val="000000"/>
                <w:sz w:val="16"/>
              </w:rPr>
              <w:t>Monitoreo de Listas</w:t>
            </w:r>
          </w:p>
        </w:tc>
        <w:tc>
          <w:tcPr>
            <w:tcW w:type="dxa" w:w="2520"/>
            <w:vAlign w:val="center"/>
          </w:tcPr>
          <w:p>
            <w:pPr>
              <w:spacing w:after="0"/>
            </w:pPr>
            <w:r/>
            <w:r>
              <w:rPr>
                <w:rFonts w:ascii="Calibri" w:hAnsi="Calibri"/>
                <w:b w:val="0"/>
                <w:color w:val="000000"/>
                <w:sz w:val="16"/>
              </w:rPr>
              <w:t>Ya absorbido en cierre funcional.</w:t>
            </w:r>
          </w:p>
        </w:tc>
        <w:tc>
          <w:tcPr>
            <w:tcW w:type="dxa" w:w="2520"/>
            <w:vAlign w:val="center"/>
          </w:tcPr>
          <w:p>
            <w:pPr>
              <w:spacing w:after="0"/>
            </w:pPr>
            <w:r/>
            <w:r>
              <w:rPr>
                <w:rFonts w:ascii="Calibri" w:hAnsi="Calibri"/>
                <w:b w:val="0"/>
                <w:color w:val="000000"/>
                <w:sz w:val="16"/>
              </w:rPr>
              <w:t>No aporta como documento separado; archivar o eliminar después de respaldo.</w:t>
            </w:r>
          </w:p>
        </w:tc>
      </w:tr>
      <w:tr>
        <w:tc>
          <w:tcPr>
            <w:tcW w:type="dxa" w:w="2520"/>
            <w:vAlign w:val="center"/>
          </w:tcPr>
          <w:p>
            <w:pPr>
              <w:spacing w:after="0"/>
            </w:pPr>
            <w:r/>
            <w:r>
              <w:rPr>
                <w:rFonts w:ascii="Calibri" w:hAnsi="Calibri"/>
                <w:b w:val="0"/>
                <w:color w:val="000000"/>
                <w:sz w:val="16"/>
              </w:rPr>
              <w:t>Motivo_Eliminacion_Monitoreo_Listas.md</w:t>
            </w:r>
          </w:p>
        </w:tc>
        <w:tc>
          <w:tcPr>
            <w:tcW w:type="dxa" w:w="2520"/>
            <w:vAlign w:val="center"/>
          </w:tcPr>
          <w:p>
            <w:pPr>
              <w:spacing w:after="0"/>
            </w:pPr>
            <w:r/>
            <w:r>
              <w:rPr>
                <w:rFonts w:ascii="Calibri" w:hAnsi="Calibri"/>
                <w:b w:val="0"/>
                <w:color w:val="000000"/>
                <w:sz w:val="16"/>
              </w:rPr>
              <w:t>Monitoreo de Listas</w:t>
            </w:r>
          </w:p>
        </w:tc>
        <w:tc>
          <w:tcPr>
            <w:tcW w:type="dxa" w:w="2520"/>
            <w:vAlign w:val="center"/>
          </w:tcPr>
          <w:p>
            <w:pPr>
              <w:spacing w:after="0"/>
            </w:pPr>
            <w:r/>
            <w:r>
              <w:rPr>
                <w:rFonts w:ascii="Calibri" w:hAnsi="Calibri"/>
                <w:b w:val="0"/>
                <w:color w:val="000000"/>
                <w:sz w:val="16"/>
              </w:rPr>
              <w:t>Ya absorbido.</w:t>
            </w:r>
          </w:p>
        </w:tc>
        <w:tc>
          <w:tcPr>
            <w:tcW w:type="dxa" w:w="2520"/>
            <w:vAlign w:val="center"/>
          </w:tcPr>
          <w:p>
            <w:pPr>
              <w:spacing w:after="0"/>
            </w:pPr>
            <w:r/>
            <w:r>
              <w:rPr>
                <w:rFonts w:ascii="Calibri" w:hAnsi="Calibri"/>
                <w:b w:val="0"/>
                <w:color w:val="000000"/>
                <w:sz w:val="16"/>
              </w:rPr>
              <w:t>El motivo obligatorio, eliminación lógica y bitácora ya están en el cierre unificado.</w:t>
            </w:r>
          </w:p>
        </w:tc>
      </w:tr>
      <w:tr>
        <w:tc>
          <w:tcPr>
            <w:tcW w:type="dxa" w:w="2520"/>
            <w:vAlign w:val="center"/>
          </w:tcPr>
          <w:p>
            <w:pPr>
              <w:spacing w:after="0"/>
            </w:pPr>
            <w:r/>
            <w:r>
              <w:rPr>
                <w:rFonts w:ascii="Calibri" w:hAnsi="Calibri"/>
                <w:b w:val="0"/>
                <w:color w:val="000000"/>
                <w:sz w:val="16"/>
              </w:rPr>
              <w:t>Origen_Registro_Lista_Positivos.md</w:t>
            </w:r>
          </w:p>
        </w:tc>
        <w:tc>
          <w:tcPr>
            <w:tcW w:type="dxa" w:w="2520"/>
            <w:vAlign w:val="center"/>
          </w:tcPr>
          <w:p>
            <w:pPr>
              <w:spacing w:after="0"/>
            </w:pPr>
            <w:r/>
            <w:r>
              <w:rPr>
                <w:rFonts w:ascii="Calibri" w:hAnsi="Calibri"/>
                <w:b w:val="0"/>
                <w:color w:val="000000"/>
                <w:sz w:val="16"/>
              </w:rPr>
              <w:t>Monitoreo de Listas</w:t>
            </w:r>
          </w:p>
        </w:tc>
        <w:tc>
          <w:tcPr>
            <w:tcW w:type="dxa" w:w="2520"/>
            <w:vAlign w:val="center"/>
          </w:tcPr>
          <w:p>
            <w:pPr>
              <w:spacing w:after="0"/>
            </w:pPr>
            <w:r/>
            <w:r>
              <w:rPr>
                <w:rFonts w:ascii="Calibri" w:hAnsi="Calibri"/>
                <w:b w:val="0"/>
                <w:color w:val="000000"/>
                <w:sz w:val="16"/>
              </w:rPr>
              <w:t>Ya absorbido.</w:t>
            </w:r>
          </w:p>
        </w:tc>
        <w:tc>
          <w:tcPr>
            <w:tcW w:type="dxa" w:w="2520"/>
            <w:vAlign w:val="center"/>
          </w:tcPr>
          <w:p>
            <w:pPr>
              <w:spacing w:after="0"/>
            </w:pPr>
            <w:r/>
            <w:r>
              <w:rPr>
                <w:rFonts w:ascii="Calibri" w:hAnsi="Calibri"/>
                <w:b w:val="0"/>
                <w:color w:val="000000"/>
                <w:sz w:val="16"/>
              </w:rPr>
              <w:t>El origen DNP_LISTAS, MANUAL_CUMPLIMIENTO y NOTICIA_PRENSA ya quedó documentado.</w:t>
            </w:r>
          </w:p>
        </w:tc>
      </w:tr>
      <w:tr>
        <w:tc>
          <w:tcPr>
            <w:tcW w:type="dxa" w:w="2520"/>
            <w:vAlign w:val="center"/>
          </w:tcPr>
          <w:p>
            <w:pPr>
              <w:spacing w:after="0"/>
            </w:pPr>
            <w:r/>
            <w:r>
              <w:rPr>
                <w:rFonts w:ascii="Calibri" w:hAnsi="Calibri"/>
                <w:b w:val="0"/>
                <w:color w:val="000000"/>
                <w:sz w:val="16"/>
              </w:rPr>
              <w:t>Observaciones.docx</w:t>
            </w:r>
          </w:p>
        </w:tc>
        <w:tc>
          <w:tcPr>
            <w:tcW w:type="dxa" w:w="2520"/>
            <w:vAlign w:val="center"/>
          </w:tcPr>
          <w:p>
            <w:pPr>
              <w:spacing w:after="0"/>
            </w:pPr>
            <w:r/>
            <w:r>
              <w:rPr>
                <w:rFonts w:ascii="Calibri" w:hAnsi="Calibri"/>
                <w:b w:val="0"/>
                <w:color w:val="000000"/>
                <w:sz w:val="16"/>
              </w:rPr>
              <w:t>Observaciones de avance</w:t>
            </w:r>
          </w:p>
        </w:tc>
        <w:tc>
          <w:tcPr>
            <w:tcW w:type="dxa" w:w="2520"/>
            <w:vAlign w:val="center"/>
          </w:tcPr>
          <w:p>
            <w:pPr>
              <w:spacing w:after="0"/>
            </w:pPr>
            <w:r/>
            <w:r>
              <w:rPr>
                <w:rFonts w:ascii="Calibri" w:hAnsi="Calibri"/>
                <w:b w:val="0"/>
                <w:color w:val="000000"/>
                <w:sz w:val="16"/>
              </w:rPr>
              <w:t>Ya absorbido/cerrado parcialmente.</w:t>
            </w:r>
          </w:p>
        </w:tc>
        <w:tc>
          <w:tcPr>
            <w:tcW w:type="dxa" w:w="2520"/>
            <w:vAlign w:val="center"/>
          </w:tcPr>
          <w:p>
            <w:pPr>
              <w:spacing w:after="0"/>
            </w:pPr>
            <w:r/>
            <w:r>
              <w:rPr>
                <w:rFonts w:ascii="Calibri" w:hAnsi="Calibri"/>
                <w:b w:val="0"/>
                <w:color w:val="000000"/>
                <w:sz w:val="16"/>
              </w:rPr>
              <w:t>Sirvió como lista de revisión; no conviene mantenerlo como documento vigente.</w:t>
            </w:r>
          </w:p>
        </w:tc>
      </w:tr>
      <w:tr>
        <w:tc>
          <w:tcPr>
            <w:tcW w:type="dxa" w:w="2520"/>
            <w:vAlign w:val="center"/>
          </w:tcPr>
          <w:p>
            <w:pPr>
              <w:spacing w:after="0"/>
            </w:pPr>
            <w:r/>
            <w:r>
              <w:rPr>
                <w:rFonts w:ascii="Calibri" w:hAnsi="Calibri"/>
                <w:b w:val="0"/>
                <w:color w:val="000000"/>
                <w:sz w:val="16"/>
              </w:rPr>
              <w:t>Analisis_Propuesta_Catalogos_LAFT.docx</w:t>
            </w:r>
          </w:p>
        </w:tc>
        <w:tc>
          <w:tcPr>
            <w:tcW w:type="dxa" w:w="2520"/>
            <w:vAlign w:val="center"/>
          </w:tcPr>
          <w:p>
            <w:pPr>
              <w:spacing w:after="0"/>
            </w:pPr>
            <w:r/>
            <w:r>
              <w:rPr>
                <w:rFonts w:ascii="Calibri" w:hAnsi="Calibri"/>
                <w:b w:val="0"/>
                <w:color w:val="000000"/>
                <w:sz w:val="16"/>
              </w:rPr>
              <w:t>Mejora futura</w:t>
            </w:r>
          </w:p>
        </w:tc>
        <w:tc>
          <w:tcPr>
            <w:tcW w:type="dxa" w:w="2520"/>
            <w:vAlign w:val="center"/>
          </w:tcPr>
          <w:p>
            <w:pPr>
              <w:spacing w:after="0"/>
            </w:pPr>
            <w:r/>
            <w:r>
              <w:rPr>
                <w:rFonts w:ascii="Calibri" w:hAnsi="Calibri"/>
                <w:b w:val="0"/>
                <w:color w:val="000000"/>
                <w:sz w:val="16"/>
              </w:rPr>
              <w:t>Útil sólo como propuesta.</w:t>
            </w:r>
          </w:p>
        </w:tc>
        <w:tc>
          <w:tcPr>
            <w:tcW w:type="dxa" w:w="2520"/>
            <w:vAlign w:val="center"/>
          </w:tcPr>
          <w:p>
            <w:pPr>
              <w:spacing w:after="0"/>
            </w:pPr>
            <w:r/>
            <w:r>
              <w:rPr>
                <w:rFonts w:ascii="Calibri" w:hAnsi="Calibri"/>
                <w:b w:val="0"/>
                <w:color w:val="000000"/>
                <w:sz w:val="16"/>
              </w:rPr>
              <w:t>No pertenece al cierre actual. Puede archivarse como mejora futura.</w:t>
            </w:r>
          </w:p>
        </w:tc>
      </w:tr>
      <w:tr>
        <w:tc>
          <w:tcPr>
            <w:tcW w:type="dxa" w:w="2520"/>
            <w:vAlign w:val="center"/>
          </w:tcPr>
          <w:p>
            <w:pPr>
              <w:spacing w:after="0"/>
            </w:pPr>
            <w:r/>
            <w:r>
              <w:rPr>
                <w:rFonts w:ascii="Calibri" w:hAnsi="Calibri"/>
                <w:b w:val="0"/>
                <w:color w:val="000000"/>
                <w:sz w:val="16"/>
              </w:rPr>
              <w:t>Propuesta_Catalogos_LAFT_Estados_Acciones_Evidencias.md</w:t>
            </w:r>
          </w:p>
        </w:tc>
        <w:tc>
          <w:tcPr>
            <w:tcW w:type="dxa" w:w="2520"/>
            <w:vAlign w:val="center"/>
          </w:tcPr>
          <w:p>
            <w:pPr>
              <w:spacing w:after="0"/>
            </w:pPr>
            <w:r/>
            <w:r>
              <w:rPr>
                <w:rFonts w:ascii="Calibri" w:hAnsi="Calibri"/>
                <w:b w:val="0"/>
                <w:color w:val="000000"/>
                <w:sz w:val="16"/>
              </w:rPr>
              <w:t>Mejora futura</w:t>
            </w:r>
          </w:p>
        </w:tc>
        <w:tc>
          <w:tcPr>
            <w:tcW w:type="dxa" w:w="2520"/>
            <w:vAlign w:val="center"/>
          </w:tcPr>
          <w:p>
            <w:pPr>
              <w:spacing w:after="0"/>
            </w:pPr>
            <w:r/>
            <w:r>
              <w:rPr>
                <w:rFonts w:ascii="Calibri" w:hAnsi="Calibri"/>
                <w:b w:val="0"/>
                <w:color w:val="000000"/>
                <w:sz w:val="16"/>
              </w:rPr>
              <w:t>Útil como insumo opcional.</w:t>
            </w:r>
          </w:p>
        </w:tc>
        <w:tc>
          <w:tcPr>
            <w:tcW w:type="dxa" w:w="2520"/>
            <w:vAlign w:val="center"/>
          </w:tcPr>
          <w:p>
            <w:pPr>
              <w:spacing w:after="0"/>
            </w:pPr>
            <w:r/>
            <w:r>
              <w:rPr>
                <w:rFonts w:ascii="Calibri" w:hAnsi="Calibri"/>
                <w:b w:val="0"/>
                <w:color w:val="000000"/>
                <w:sz w:val="16"/>
              </w:rPr>
              <w:t>No bloquear Monitoreo. Archivar como propuesta si se requiere catálogo LAFT más adelante.</w:t>
            </w:r>
          </w:p>
        </w:tc>
      </w:tr>
      <w:tr>
        <w:tc>
          <w:tcPr>
            <w:tcW w:type="dxa" w:w="2520"/>
            <w:vAlign w:val="center"/>
          </w:tcPr>
          <w:p>
            <w:pPr>
              <w:spacing w:after="0"/>
            </w:pPr>
            <w:r/>
            <w:r>
              <w:rPr>
                <w:rFonts w:ascii="Calibri" w:hAnsi="Calibri"/>
                <w:b w:val="0"/>
                <w:color w:val="000000"/>
                <w:sz w:val="16"/>
              </w:rPr>
              <w:t>0. Analisis_Modulos_Requerimiento_vs_Sistema.docx</w:t>
            </w:r>
          </w:p>
        </w:tc>
        <w:tc>
          <w:tcPr>
            <w:tcW w:type="dxa" w:w="2520"/>
            <w:vAlign w:val="center"/>
          </w:tcPr>
          <w:p>
            <w:pPr>
              <w:spacing w:after="0"/>
            </w:pPr>
            <w:r/>
            <w:r>
              <w:rPr>
                <w:rFonts w:ascii="Calibri" w:hAnsi="Calibri"/>
                <w:b w:val="0"/>
                <w:color w:val="000000"/>
                <w:sz w:val="16"/>
              </w:rPr>
              <w:t>Análisis general</w:t>
            </w:r>
          </w:p>
        </w:tc>
        <w:tc>
          <w:tcPr>
            <w:tcW w:type="dxa" w:w="2520"/>
            <w:vAlign w:val="center"/>
          </w:tcPr>
          <w:p>
            <w:pPr>
              <w:spacing w:after="0"/>
            </w:pPr>
            <w:r/>
            <w:r>
              <w:rPr>
                <w:rFonts w:ascii="Calibri" w:hAnsi="Calibri"/>
                <w:b w:val="0"/>
                <w:color w:val="000000"/>
                <w:sz w:val="16"/>
              </w:rPr>
              <w:t>Parcialmente útil.</w:t>
            </w:r>
          </w:p>
        </w:tc>
        <w:tc>
          <w:tcPr>
            <w:tcW w:type="dxa" w:w="2520"/>
            <w:vAlign w:val="center"/>
          </w:tcPr>
          <w:p>
            <w:pPr>
              <w:spacing w:after="0"/>
            </w:pPr>
            <w:r/>
            <w:r>
              <w:rPr>
                <w:rFonts w:ascii="Calibri" w:hAnsi="Calibri"/>
                <w:b w:val="0"/>
                <w:color w:val="000000"/>
                <w:sz w:val="16"/>
              </w:rPr>
              <w:t>Ya aportó al cierre. Lo útil para Módulo 2 queda separado en el documento base de Matrices.</w:t>
            </w:r>
          </w:p>
        </w:tc>
      </w:tr>
      <w:tr>
        <w:tc>
          <w:tcPr>
            <w:tcW w:type="dxa" w:w="2520"/>
            <w:vAlign w:val="center"/>
          </w:tcPr>
          <w:p>
            <w:pPr>
              <w:spacing w:after="0"/>
            </w:pPr>
            <w:r/>
            <w:r>
              <w:rPr>
                <w:rFonts w:ascii="Calibri" w:hAnsi="Calibri"/>
                <w:b w:val="0"/>
                <w:color w:val="000000"/>
                <w:sz w:val="16"/>
              </w:rPr>
              <w:t>ANALISIS y DISEÑO del SISTEMA GESTION de RIESGOS LAFT IHSS.pdf</w:t>
            </w:r>
          </w:p>
        </w:tc>
        <w:tc>
          <w:tcPr>
            <w:tcW w:type="dxa" w:w="2520"/>
            <w:vAlign w:val="center"/>
          </w:tcPr>
          <w:p>
            <w:pPr>
              <w:spacing w:after="0"/>
            </w:pPr>
            <w:r/>
            <w:r>
              <w:rPr>
                <w:rFonts w:ascii="Calibri" w:hAnsi="Calibri"/>
                <w:b w:val="0"/>
                <w:color w:val="000000"/>
                <w:sz w:val="16"/>
              </w:rPr>
              <w:t>Análisis inicial general</w:t>
            </w:r>
          </w:p>
        </w:tc>
        <w:tc>
          <w:tcPr>
            <w:tcW w:type="dxa" w:w="2520"/>
            <w:vAlign w:val="center"/>
          </w:tcPr>
          <w:p>
            <w:pPr>
              <w:spacing w:after="0"/>
            </w:pPr>
            <w:r/>
            <w:r>
              <w:rPr>
                <w:rFonts w:ascii="Calibri" w:hAnsi="Calibri"/>
                <w:b w:val="0"/>
                <w:color w:val="000000"/>
                <w:sz w:val="16"/>
              </w:rPr>
              <w:t>Útil como fuente de contexto.</w:t>
            </w:r>
          </w:p>
        </w:tc>
        <w:tc>
          <w:tcPr>
            <w:tcW w:type="dxa" w:w="2520"/>
            <w:vAlign w:val="center"/>
          </w:tcPr>
          <w:p>
            <w:pPr>
              <w:spacing w:after="0"/>
            </w:pPr>
            <w:r/>
            <w:r>
              <w:rPr>
                <w:rFonts w:ascii="Calibri" w:hAnsi="Calibri"/>
                <w:b w:val="0"/>
                <w:color w:val="000000"/>
                <w:sz w:val="16"/>
              </w:rPr>
              <w:t>Conservar como fuente histórica o de arranque; no usar como documento operativo de cierre.</w:t>
            </w:r>
          </w:p>
        </w:tc>
      </w:tr>
      <w:tr>
        <w:tc>
          <w:tcPr>
            <w:tcW w:type="dxa" w:w="2520"/>
            <w:vAlign w:val="center"/>
          </w:tcPr>
          <w:p>
            <w:pPr>
              <w:spacing w:after="0"/>
            </w:pPr>
            <w:r/>
            <w:r>
              <w:rPr>
                <w:rFonts w:ascii="Calibri" w:hAnsi="Calibri"/>
                <w:b w:val="0"/>
                <w:color w:val="000000"/>
                <w:sz w:val="16"/>
              </w:rPr>
              <w:t>Documentación del Cliente/0. Desarrollo...</w:t>
            </w:r>
          </w:p>
        </w:tc>
        <w:tc>
          <w:tcPr>
            <w:tcW w:type="dxa" w:w="2520"/>
            <w:vAlign w:val="center"/>
          </w:tcPr>
          <w:p>
            <w:pPr>
              <w:spacing w:after="0"/>
            </w:pPr>
            <w:r/>
            <w:r>
              <w:rPr>
                <w:rFonts w:ascii="Calibri" w:hAnsi="Calibri"/>
                <w:b w:val="0"/>
                <w:color w:val="000000"/>
                <w:sz w:val="16"/>
              </w:rPr>
              <w:t>Fuente del cliente</w:t>
            </w:r>
          </w:p>
        </w:tc>
        <w:tc>
          <w:tcPr>
            <w:tcW w:type="dxa" w:w="2520"/>
            <w:vAlign w:val="center"/>
          </w:tcPr>
          <w:p>
            <w:pPr>
              <w:spacing w:after="0"/>
            </w:pPr>
            <w:r/>
            <w:r>
              <w:rPr>
                <w:rFonts w:ascii="Calibri" w:hAnsi="Calibri"/>
                <w:b w:val="0"/>
                <w:color w:val="000000"/>
                <w:sz w:val="16"/>
              </w:rPr>
              <w:t>Fuente primaria.</w:t>
            </w:r>
          </w:p>
        </w:tc>
        <w:tc>
          <w:tcPr>
            <w:tcW w:type="dxa" w:w="2520"/>
            <w:vAlign w:val="center"/>
          </w:tcPr>
          <w:p>
            <w:pPr>
              <w:spacing w:after="0"/>
            </w:pPr>
            <w:r/>
            <w:r>
              <w:rPr>
                <w:rFonts w:ascii="Calibri" w:hAnsi="Calibri"/>
                <w:b w:val="0"/>
                <w:color w:val="000000"/>
                <w:sz w:val="16"/>
              </w:rPr>
              <w:t>No eliminar sin respaldo. Sirve como verdad de requerimientos del cliente.</w:t>
            </w:r>
          </w:p>
        </w:tc>
      </w:tr>
      <w:tr>
        <w:tc>
          <w:tcPr>
            <w:tcW w:type="dxa" w:w="2520"/>
            <w:vAlign w:val="center"/>
          </w:tcPr>
          <w:p>
            <w:pPr>
              <w:spacing w:after="0"/>
            </w:pPr>
            <w:r/>
            <w:r>
              <w:rPr>
                <w:rFonts w:ascii="Calibri" w:hAnsi="Calibri"/>
                <w:b w:val="0"/>
                <w:color w:val="000000"/>
                <w:sz w:val="16"/>
              </w:rPr>
              <w:t>Preparacion_Modulo_2_Matrices_Riesgos.docx</w:t>
            </w:r>
          </w:p>
        </w:tc>
        <w:tc>
          <w:tcPr>
            <w:tcW w:type="dxa" w:w="2520"/>
            <w:vAlign w:val="center"/>
          </w:tcPr>
          <w:p>
            <w:pPr>
              <w:spacing w:after="0"/>
            </w:pPr>
            <w:r/>
            <w:r>
              <w:rPr>
                <w:rFonts w:ascii="Calibri" w:hAnsi="Calibri"/>
                <w:b w:val="0"/>
                <w:color w:val="000000"/>
                <w:sz w:val="16"/>
              </w:rPr>
              <w:t>Módulo 2</w:t>
            </w:r>
          </w:p>
        </w:tc>
        <w:tc>
          <w:tcPr>
            <w:tcW w:type="dxa" w:w="2520"/>
            <w:vAlign w:val="center"/>
          </w:tcPr>
          <w:p>
            <w:pPr>
              <w:spacing w:after="0"/>
            </w:pPr>
            <w:r/>
            <w:r>
              <w:rPr>
                <w:rFonts w:ascii="Calibri" w:hAnsi="Calibri"/>
                <w:b w:val="0"/>
                <w:color w:val="000000"/>
                <w:sz w:val="16"/>
              </w:rPr>
              <w:t>Útil.</w:t>
            </w:r>
          </w:p>
        </w:tc>
        <w:tc>
          <w:tcPr>
            <w:tcW w:type="dxa" w:w="2520"/>
            <w:vAlign w:val="center"/>
          </w:tcPr>
          <w:p>
            <w:pPr>
              <w:spacing w:after="0"/>
            </w:pPr>
            <w:r/>
            <w:r>
              <w:rPr>
                <w:rFonts w:ascii="Calibri" w:hAnsi="Calibri"/>
                <w:b w:val="0"/>
                <w:color w:val="000000"/>
                <w:sz w:val="16"/>
              </w:rPr>
              <w:t>Absorbido en el documento base de Módulo 2.</w:t>
            </w:r>
          </w:p>
        </w:tc>
      </w:tr>
      <w:tr>
        <w:tc>
          <w:tcPr>
            <w:tcW w:type="dxa" w:w="2520"/>
            <w:vAlign w:val="center"/>
          </w:tcPr>
          <w:p>
            <w:pPr>
              <w:spacing w:after="0"/>
            </w:pPr>
            <w:r/>
            <w:r>
              <w:rPr>
                <w:rFonts w:ascii="Calibri" w:hAnsi="Calibri"/>
                <w:b w:val="0"/>
                <w:color w:val="000000"/>
                <w:sz w:val="16"/>
              </w:rPr>
              <w:t>Preparacion_Modulo_2_Matrices_Riesgos_Requisitos_Cliente.docx</w:t>
            </w:r>
          </w:p>
        </w:tc>
        <w:tc>
          <w:tcPr>
            <w:tcW w:type="dxa" w:w="2520"/>
            <w:vAlign w:val="center"/>
          </w:tcPr>
          <w:p>
            <w:pPr>
              <w:spacing w:after="0"/>
            </w:pPr>
            <w:r/>
            <w:r>
              <w:rPr>
                <w:rFonts w:ascii="Calibri" w:hAnsi="Calibri"/>
                <w:b w:val="0"/>
                <w:color w:val="000000"/>
                <w:sz w:val="16"/>
              </w:rPr>
              <w:t>Módulo 2</w:t>
            </w:r>
          </w:p>
        </w:tc>
        <w:tc>
          <w:tcPr>
            <w:tcW w:type="dxa" w:w="2520"/>
            <w:vAlign w:val="center"/>
          </w:tcPr>
          <w:p>
            <w:pPr>
              <w:spacing w:after="0"/>
            </w:pPr>
            <w:r/>
            <w:r>
              <w:rPr>
                <w:rFonts w:ascii="Calibri" w:hAnsi="Calibri"/>
                <w:b w:val="0"/>
                <w:color w:val="000000"/>
                <w:sz w:val="16"/>
              </w:rPr>
              <w:t>Útil.</w:t>
            </w:r>
          </w:p>
        </w:tc>
        <w:tc>
          <w:tcPr>
            <w:tcW w:type="dxa" w:w="2520"/>
            <w:vAlign w:val="center"/>
          </w:tcPr>
          <w:p>
            <w:pPr>
              <w:spacing w:after="0"/>
            </w:pPr>
            <w:r/>
            <w:r>
              <w:rPr>
                <w:rFonts w:ascii="Calibri" w:hAnsi="Calibri"/>
                <w:b w:val="0"/>
                <w:color w:val="000000"/>
                <w:sz w:val="16"/>
              </w:rPr>
              <w:t>Absorbido en el documento base de Módulo 2.</w:t>
            </w:r>
          </w:p>
        </w:tc>
      </w:tr>
    </w:tbl>
    <w:p/>
    <w:p>
      <w:pPr>
        <w:pStyle w:val="Heading1"/>
        <w:spacing w:before="240" w:after="120"/>
      </w:pPr>
      <w:r>
        <w:rPr>
          <w:rFonts w:ascii="Calibri" w:hAnsi="Calibri"/>
          <w:b/>
          <w:color w:val="1F4D78"/>
          <w:sz w:val="32"/>
        </w:rPr>
        <w:t>3. Qué puede limpiarse después de validar</w:t>
      </w:r>
    </w:p>
    <w:p>
      <w:pPr>
        <w:pStyle w:val="ListBullet"/>
        <w:spacing w:after="60"/>
      </w:pPr>
      <w:r>
        <w:rPr>
          <w:rFonts w:ascii="Calibri" w:hAnsi="Calibri"/>
          <w:b w:val="0"/>
          <w:color w:val="000000"/>
          <w:sz w:val="20"/>
        </w:rPr>
        <w:t>Los documentos de Monitoreo de Listas pueden eliminarse o archivarse porque ya existe un documento único de cierre funcional.</w:t>
      </w:r>
    </w:p>
    <w:p>
      <w:pPr>
        <w:pStyle w:val="ListBullet"/>
        <w:spacing w:after="60"/>
      </w:pPr>
      <w:r>
        <w:rPr>
          <w:rFonts w:ascii="Calibri" w:hAnsi="Calibri"/>
          <w:b w:val="0"/>
          <w:color w:val="000000"/>
          <w:sz w:val="20"/>
        </w:rPr>
        <w:t>Los archivos de observaciones sueltas pueden eliminarse porque sus puntos ya fueron cerrados o trasladados como pendientes reales.</w:t>
      </w:r>
    </w:p>
    <w:p>
      <w:pPr>
        <w:pStyle w:val="ListBullet"/>
        <w:spacing w:after="60"/>
      </w:pPr>
      <w:r>
        <w:rPr>
          <w:rFonts w:ascii="Calibri" w:hAnsi="Calibri"/>
          <w:b w:val="0"/>
          <w:color w:val="000000"/>
          <w:sz w:val="20"/>
        </w:rPr>
        <w:t>Las propuestas de catálogos LAFT no deben mezclarse con cierre de Monitoreo; pueden moverse a una carpeta de mejoras futuras.</w:t>
      </w:r>
    </w:p>
    <w:p>
      <w:pPr>
        <w:pStyle w:val="ListBullet"/>
        <w:spacing w:after="60"/>
      </w:pPr>
      <w:r>
        <w:rPr>
          <w:rFonts w:ascii="Calibri" w:hAnsi="Calibri"/>
          <w:b w:val="0"/>
          <w:color w:val="000000"/>
          <w:sz w:val="20"/>
        </w:rPr>
        <w:t>Los documentos del Módulo 2 deben reemplazarse por el documento base de Matrices de Riesgos generado ahora.</w:t>
      </w:r>
    </w:p>
    <w:p>
      <w:pPr>
        <w:pStyle w:val="ListBullet"/>
        <w:spacing w:after="60"/>
      </w:pPr>
      <w:r>
        <w:rPr>
          <w:rFonts w:ascii="Calibri" w:hAnsi="Calibri"/>
          <w:b w:val="0"/>
          <w:color w:val="000000"/>
          <w:sz w:val="20"/>
        </w:rPr>
        <w:t>El PDF de análisis inicial y el Word del cliente conviene conservarlos como fuentes primarias/históricas, salvo que se guarden en respaldo externo.</w:t>
      </w:r>
    </w:p>
    <w:p>
      <w:pPr>
        <w:pStyle w:val="Heading1"/>
        <w:spacing w:before="240" w:after="120"/>
      </w:pPr>
      <w:r>
        <w:rPr>
          <w:rFonts w:ascii="Calibri" w:hAnsi="Calibri"/>
          <w:b/>
          <w:color w:val="1F4D78"/>
          <w:sz w:val="32"/>
        </w:rPr>
        <w:t>4. Recomendación de carpeta docs</w:t>
      </w:r>
    </w:p>
    <w:tbl>
      <w:tblPr>
        <w:tblStyle w:val="TableGrid"/>
        <w:tblW w:type="auto" w:w="0"/>
        <w:jc w:val="center"/>
        <w:tblLayout w:type="fixed"/>
        <w:tblLook w:firstColumn="1" w:firstRow="1" w:lastColumn="0" w:lastRow="0" w:noHBand="0" w:noVBand="1" w:val="04A0"/>
      </w:tblPr>
      <w:tblGrid>
        <w:gridCol w:w="5040"/>
        <w:gridCol w:w="5040"/>
      </w:tblGrid>
      <w:tr>
        <w:tc>
          <w:tcPr>
            <w:tcW w:type="dxa" w:w="3600"/>
            <w:shd w:fill="F2F4F7"/>
            <w:vAlign w:val="center"/>
          </w:tcPr>
          <w:p>
            <w:pPr>
              <w:spacing w:after="0"/>
            </w:pPr>
            <w:r/>
            <w:r>
              <w:rPr>
                <w:rFonts w:ascii="Calibri" w:hAnsi="Calibri"/>
                <w:b/>
                <w:color w:val="000000"/>
                <w:sz w:val="17"/>
              </w:rPr>
              <w:t>Elemento recomendado</w:t>
            </w:r>
          </w:p>
        </w:tc>
        <w:tc>
          <w:tcPr>
            <w:tcW w:type="dxa" w:w="5976"/>
            <w:shd w:fill="F2F4F7"/>
            <w:vAlign w:val="center"/>
          </w:tcPr>
          <w:p>
            <w:pPr>
              <w:spacing w:after="0"/>
            </w:pPr>
            <w:r/>
            <w:r>
              <w:rPr>
                <w:rFonts w:ascii="Calibri" w:hAnsi="Calibri"/>
                <w:b/>
                <w:color w:val="000000"/>
                <w:sz w:val="17"/>
              </w:rPr>
              <w:t>Acción</w:t>
            </w:r>
          </w:p>
        </w:tc>
      </w:tr>
      <w:tr>
        <w:tc>
          <w:tcPr>
            <w:tcW w:type="dxa" w:w="5040"/>
            <w:vAlign w:val="center"/>
          </w:tcPr>
          <w:p>
            <w:pPr>
              <w:spacing w:after="0"/>
            </w:pPr>
            <w:r/>
            <w:r>
              <w:rPr>
                <w:rFonts w:ascii="Calibri" w:hAnsi="Calibri"/>
                <w:b w:val="0"/>
                <w:color w:val="000000"/>
                <w:sz w:val="16"/>
              </w:rPr>
              <w:t>Documento único de cierre de Monitoreo de Listas</w:t>
            </w:r>
          </w:p>
        </w:tc>
        <w:tc>
          <w:tcPr>
            <w:tcW w:type="dxa" w:w="5040"/>
            <w:vAlign w:val="center"/>
          </w:tcPr>
          <w:p>
            <w:pPr>
              <w:spacing w:after="0"/>
            </w:pPr>
            <w:r/>
            <w:r>
              <w:rPr>
                <w:rFonts w:ascii="Calibri" w:hAnsi="Calibri"/>
                <w:b w:val="0"/>
                <w:color w:val="000000"/>
                <w:sz w:val="16"/>
              </w:rPr>
              <w:t>Conservar como cierre oficial del módulo 1.</w:t>
            </w:r>
          </w:p>
        </w:tc>
      </w:tr>
      <w:tr>
        <w:tc>
          <w:tcPr>
            <w:tcW w:type="dxa" w:w="5040"/>
            <w:vAlign w:val="center"/>
          </w:tcPr>
          <w:p>
            <w:pPr>
              <w:spacing w:after="0"/>
            </w:pPr>
            <w:r/>
            <w:r>
              <w:rPr>
                <w:rFonts w:ascii="Calibri" w:hAnsi="Calibri"/>
                <w:b w:val="0"/>
                <w:color w:val="000000"/>
                <w:sz w:val="16"/>
              </w:rPr>
              <w:t>Cierre_Depuracion_Documental_Post_Monitoreo_Listas.docx</w:t>
            </w:r>
          </w:p>
        </w:tc>
        <w:tc>
          <w:tcPr>
            <w:tcW w:type="dxa" w:w="5040"/>
            <w:vAlign w:val="center"/>
          </w:tcPr>
          <w:p>
            <w:pPr>
              <w:spacing w:after="0"/>
            </w:pPr>
            <w:r/>
            <w:r>
              <w:rPr>
                <w:rFonts w:ascii="Calibri" w:hAnsi="Calibri"/>
                <w:b w:val="0"/>
                <w:color w:val="000000"/>
                <w:sz w:val="16"/>
              </w:rPr>
              <w:t>Usar como guía para saber qué documentos ya pueden archivarse o eliminarse.</w:t>
            </w:r>
          </w:p>
        </w:tc>
      </w:tr>
      <w:tr>
        <w:tc>
          <w:tcPr>
            <w:tcW w:type="dxa" w:w="5040"/>
            <w:vAlign w:val="center"/>
          </w:tcPr>
          <w:p>
            <w:pPr>
              <w:spacing w:after="0"/>
            </w:pPr>
            <w:r/>
            <w:r>
              <w:rPr>
                <w:rFonts w:ascii="Calibri" w:hAnsi="Calibri"/>
                <w:b w:val="0"/>
                <w:color w:val="000000"/>
                <w:sz w:val="16"/>
              </w:rPr>
              <w:t>Base_Analisis_Modulo_2_Matrices_Riesgos.docx</w:t>
            </w:r>
          </w:p>
        </w:tc>
        <w:tc>
          <w:tcPr>
            <w:tcW w:type="dxa" w:w="5040"/>
            <w:vAlign w:val="center"/>
          </w:tcPr>
          <w:p>
            <w:pPr>
              <w:spacing w:after="0"/>
            </w:pPr>
            <w:r/>
            <w:r>
              <w:rPr>
                <w:rFonts w:ascii="Calibri" w:hAnsi="Calibri"/>
                <w:b w:val="0"/>
                <w:color w:val="000000"/>
                <w:sz w:val="16"/>
              </w:rPr>
              <w:t>Conservar como punto de partida para el análisis final del Módulo 2.</w:t>
            </w:r>
          </w:p>
        </w:tc>
      </w:tr>
      <w:tr>
        <w:tc>
          <w:tcPr>
            <w:tcW w:type="dxa" w:w="5040"/>
            <w:vAlign w:val="center"/>
          </w:tcPr>
          <w:p>
            <w:pPr>
              <w:spacing w:after="0"/>
            </w:pPr>
            <w:r/>
            <w:r>
              <w:rPr>
                <w:rFonts w:ascii="Calibri" w:hAnsi="Calibri"/>
                <w:b w:val="0"/>
                <w:color w:val="000000"/>
                <w:sz w:val="16"/>
              </w:rPr>
              <w:t>Documentación del Cliente</w:t>
            </w:r>
          </w:p>
        </w:tc>
        <w:tc>
          <w:tcPr>
            <w:tcW w:type="dxa" w:w="5040"/>
            <w:vAlign w:val="center"/>
          </w:tcPr>
          <w:p>
            <w:pPr>
              <w:spacing w:after="0"/>
            </w:pPr>
            <w:r/>
            <w:r>
              <w:rPr>
                <w:rFonts w:ascii="Calibri" w:hAnsi="Calibri"/>
                <w:b w:val="0"/>
                <w:color w:val="000000"/>
                <w:sz w:val="16"/>
              </w:rPr>
              <w:t>Conservar o respaldar como fuente original.</w:t>
            </w:r>
          </w:p>
        </w:tc>
      </w:tr>
      <w:tr>
        <w:tc>
          <w:tcPr>
            <w:tcW w:type="dxa" w:w="5040"/>
            <w:vAlign w:val="center"/>
          </w:tcPr>
          <w:p>
            <w:pPr>
              <w:spacing w:after="0"/>
            </w:pPr>
            <w:r/>
            <w:r>
              <w:rPr>
                <w:rFonts w:ascii="Calibri" w:hAnsi="Calibri"/>
                <w:b w:val="0"/>
                <w:color w:val="000000"/>
                <w:sz w:val="16"/>
              </w:rPr>
              <w:t>PDF de análisis inicial</w:t>
            </w:r>
          </w:p>
        </w:tc>
        <w:tc>
          <w:tcPr>
            <w:tcW w:type="dxa" w:w="5040"/>
            <w:vAlign w:val="center"/>
          </w:tcPr>
          <w:p>
            <w:pPr>
              <w:spacing w:after="0"/>
            </w:pPr>
            <w:r/>
            <w:r>
              <w:rPr>
                <w:rFonts w:ascii="Calibri" w:hAnsi="Calibri"/>
                <w:b w:val="0"/>
                <w:color w:val="000000"/>
                <w:sz w:val="16"/>
              </w:rPr>
              <w:t>Conservar o respaldar como contexto general de todos los módulos.</w:t>
            </w:r>
          </w:p>
        </w:tc>
      </w:tr>
      <w:tr>
        <w:tc>
          <w:tcPr>
            <w:tcW w:type="dxa" w:w="5040"/>
            <w:vAlign w:val="center"/>
          </w:tcPr>
          <w:p>
            <w:pPr>
              <w:spacing w:after="0"/>
            </w:pPr>
            <w:r/>
            <w:r>
              <w:rPr>
                <w:rFonts w:ascii="Calibri" w:hAnsi="Calibri"/>
                <w:b w:val="0"/>
                <w:color w:val="000000"/>
                <w:sz w:val="16"/>
              </w:rPr>
              <w:t>Resto de documentos sueltos</w:t>
            </w:r>
          </w:p>
        </w:tc>
        <w:tc>
          <w:tcPr>
            <w:tcW w:type="dxa" w:w="5040"/>
            <w:vAlign w:val="center"/>
          </w:tcPr>
          <w:p>
            <w:pPr>
              <w:spacing w:after="0"/>
            </w:pPr>
            <w:r/>
            <w:r>
              <w:rPr>
                <w:rFonts w:ascii="Calibri" w:hAnsi="Calibri"/>
                <w:b w:val="0"/>
                <w:color w:val="000000"/>
                <w:sz w:val="16"/>
              </w:rPr>
              <w:t>Archivar/eliminar después de respaldo y confirmación de jefatura.</w:t>
            </w:r>
          </w:p>
        </w:tc>
      </w:tr>
    </w:tbl>
    <w:p/>
    <w:tbl>
      <w:tblPr>
        <w:tblStyle w:val="TableGrid"/>
        <w:tblW w:type="auto" w:w="0"/>
        <w:tblLook w:firstColumn="1" w:firstRow="1" w:lastColumn="0" w:lastRow="0" w:noHBand="0" w:noVBand="1" w:val="04A0"/>
      </w:tblPr>
      <w:tblGrid>
        <w:gridCol w:w="10080"/>
      </w:tblGrid>
      <w:tr>
        <w:tc>
          <w:tcPr>
            <w:tcW w:type="dxa" w:w="10080"/>
            <w:shd w:fill="FFF7E6"/>
          </w:tcPr>
          <w:p>
            <w:r/>
            <w:r>
              <w:rPr>
                <w:rFonts w:ascii="Calibri" w:hAnsi="Calibri"/>
                <w:b/>
                <w:color w:val="1F4D78"/>
                <w:sz w:val="18"/>
              </w:rPr>
              <w:t>Criterio final</w:t>
            </w:r>
            <w:r>
              <w:br/>
            </w:r>
            <w:r>
              <w:rPr>
                <w:rFonts w:ascii="Calibri" w:hAnsi="Calibri"/>
                <w:b w:val="0"/>
                <w:color w:val="000000"/>
                <w:sz w:val="18"/>
              </w:rPr>
              <w:t>Si el objetivo es mantener pocos documentos, el contenido operativo de Monitoreo ya no necesita los documentos sueltos. Para avanzar al Módulo 2, el único insumo nuevo realmente útil es la base de análisis de Matrices de Riesgos.</w:t>
            </w:r>
          </w:p>
        </w:tc>
      </w:tr>
    </w:tbl>
    <w:p/>
    <w:sectPr w:rsidR="00FC693F" w:rsidRPr="0006063C" w:rsidSect="00034616">
      <w:footerReference w:type="default" r:id="rId9"/>
      <w:pgSz w:w="12240" w:h="15840"/>
      <w:pgMar w:top="1152"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596473"/>
        <w:sz w:val="16"/>
      </w:rPr>
      <w:t>Cierre de depuración documental - Sistema de Gestión de Riesgos LA/FT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