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63549e08055b657ccf82a95e21665ce445d9073"/>
    <w:p>
      <w:pPr>
        <w:pStyle w:val="Heading1"/>
      </w:pPr>
      <w:r>
        <w:t xml:space="preserve">Blockchain Trajectories in Graph Databases: A Neo4j-Based Model for Ethereum Transaction Analytics</w:t>
      </w:r>
    </w:p>
    <w:p>
      <w:pPr>
        <w:pStyle w:val="FirstParagraph"/>
      </w:pPr>
      <w:r>
        <w:t xml:space="preserve">Francisco Javier Moreno Arboleda · Juan Esteban Mejía Espejo · Georgia Garani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Blockchain platforms generate large volumes of interconnected transactional data,</w:t>
      </w:r>
      <w:r>
        <w:t xml:space="preserve"> </w:t>
      </w:r>
      <w:r>
        <w:t xml:space="preserve">whose analysis can reveal important patterns of account activity, value transfer,</w:t>
      </w:r>
      <w:r>
        <w:t xml:space="preserve"> </w:t>
      </w:r>
      <w:r>
        <w:t xml:space="preserve">and user interaction. This paper proposes a graph database model for representing</w:t>
      </w:r>
      <w:r>
        <w:t xml:space="preserve"> </w:t>
      </w:r>
      <w:r>
        <w:t xml:space="preserve">and analyzing Ethereum blockchain data. The proposed model captures blocks,</w:t>
      </w:r>
      <w:r>
        <w:t xml:space="preserve"> </w:t>
      </w:r>
      <w:r>
        <w:t xml:space="preserve">accounts, external transactions, and internal transactions as graph nodes, while</w:t>
      </w:r>
      <w:r>
        <w:t xml:space="preserve"> </w:t>
      </w:r>
      <w:r>
        <w:t xml:space="preserve">relationships represent temporal block succession, transaction recording, sender</w:t>
      </w:r>
      <w:r>
        <w:t xml:space="preserve"> </w:t>
      </w:r>
      <w:r>
        <w:t xml:space="preserve">and receiver participation, and the decomposition of external transactions into</w:t>
      </w:r>
      <w:r>
        <w:t xml:space="preserve"> </w:t>
      </w:r>
      <w:r>
        <w:t xml:space="preserve">internal transactions. By interpreting the blockchain as a trajectory of</w:t>
      </w:r>
      <w:r>
        <w:t xml:space="preserve"> </w:t>
      </w:r>
      <w:r>
        <w:t xml:space="preserve">consecutive blocks, the model enables trajectory-style analytics over selected</w:t>
      </w:r>
      <w:r>
        <w:t xml:space="preserve"> </w:t>
      </w:r>
      <w:r>
        <w:t xml:space="preserve">temporal windows. The model was implemented in Neo4j, using Ethereum data</w:t>
      </w:r>
      <w:r>
        <w:t xml:space="preserve"> </w:t>
      </w:r>
      <w:r>
        <w:t xml:space="preserve">collected through Google BigQuery’s public Ethereum dataset, and evaluated through</w:t>
      </w:r>
      <w:r>
        <w:t xml:space="preserve"> </w:t>
      </w:r>
      <w:r>
        <w:t xml:space="preserve">Cypher queries over cumulative block ranges spanning 2 to 10,000 blocks and across four distinct eras of</w:t>
      </w:r>
      <w:r>
        <w:t xml:space="preserve"> </w:t>
      </w:r>
      <w:r>
        <w:t xml:space="preserve">Ethereum’s history (2016, 2020, 2023, and 2024). The queries analyze account</w:t>
      </w:r>
      <w:r>
        <w:t xml:space="preserve"> </w:t>
      </w:r>
      <w:r>
        <w:t xml:space="preserve">activity, sender–receiver relationships, transaction volumes, and statistical</w:t>
      </w:r>
      <w:r>
        <w:t xml:space="preserve"> </w:t>
      </w:r>
      <w:r>
        <w:t xml:space="preserve">properties of external and internal transactions. The experimental results show</w:t>
      </w:r>
      <w:r>
        <w:t xml:space="preserve"> </w:t>
      </w:r>
      <w:r>
        <w:t xml:space="preserve">that the proposed graph representation can effectively identify highly active</w:t>
      </w:r>
      <w:r>
        <w:t xml:space="preserve"> </w:t>
      </w:r>
      <w:r>
        <w:t xml:space="preserve">accounts, recurrent sender–receiver pairs, and key intermediaries such as the</w:t>
      </w:r>
      <w:r>
        <w:t xml:space="preserve"> </w:t>
      </w:r>
      <w:r>
        <w:t xml:space="preserve">Wrapped Ether contract, and that these patterns are stable across nearly four orders</w:t>
      </w:r>
      <w:r>
        <w:t xml:space="preserve"> </w:t>
      </w:r>
      <w:r>
        <w:t xml:space="preserve">of magnitude of window size. At the ten-thousand-block</w:t>
      </w:r>
      <w:r>
        <w:t xml:space="preserve"> </w:t>
      </w:r>
      <w:r>
        <w:t xml:space="preserve">scale (over 1.5 million external and 0.8 million internal transactions for the 2024</w:t>
      </w:r>
      <w:r>
        <w:t xml:space="preserve"> </w:t>
      </w:r>
      <w:r>
        <w:t xml:space="preserve">window) all queries execute in seconds once expressed in a single-traversal form.</w:t>
      </w:r>
      <w:r>
        <w:t xml:space="preserve"> </w:t>
      </w:r>
      <w:r>
        <w:t xml:space="preserve">The cross-era comparison further reveals the structural evolution of the network:</w:t>
      </w:r>
      <w:r>
        <w:t xml:space="preserve"> </w:t>
      </w:r>
      <w:r>
        <w:t xml:space="preserve">the number of transactions per block, the proportion of internal transactions, and</w:t>
      </w:r>
      <w:r>
        <w:t xml:space="preserve"> </w:t>
      </w:r>
      <w:r>
        <w:t xml:space="preserve">the identity of the dominant intermediaries all change markedly from 2016 to 2024,</w:t>
      </w:r>
      <w:r>
        <w:t xml:space="preserve"> </w:t>
      </w:r>
      <w:r>
        <w:t xml:space="preserve">with Wrapped Ether emerging and rising to dominance over this period. The findings</w:t>
      </w:r>
      <w:r>
        <w:t xml:space="preserve"> </w:t>
      </w:r>
      <w:r>
        <w:t xml:space="preserve">demonstrate the suitability of graph databases for blockchain transaction analysis</w:t>
      </w:r>
      <w:r>
        <w:t xml:space="preserve"> </w:t>
      </w:r>
      <w:r>
        <w:t xml:space="preserve">at scale and provide a foundation for future work on anomaly detection, community</w:t>
      </w:r>
      <w:r>
        <w:t xml:space="preserve"> </w:t>
      </w:r>
      <w:r>
        <w:t xml:space="preserve">discovery, and real-time graph-based monitoring.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Blockchain analytics; Ethereum; Graph databases; Neo4j; Cypher</w:t>
      </w:r>
      <w:r>
        <w:t xml:space="preserve"> </w:t>
      </w:r>
      <w:r>
        <w:t xml:space="preserve">queries; External transactions; Internal transactions; Transaction networks;</w:t>
      </w:r>
      <w:r>
        <w:t xml:space="preserve"> </w:t>
      </w:r>
      <w:r>
        <w:t xml:space="preserve">Account activity; Blockchain trajectories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Blockchain technology has revolutionized several sectors (Tschorsch &amp; Scheuermann,</w:t>
      </w:r>
      <w:r>
        <w:t xml:space="preserve"> </w:t>
      </w:r>
      <w:r>
        <w:t xml:space="preserve">2016) due to its ability to provide a decentralized, immutable, and secure ledger</w:t>
      </w:r>
      <w:r>
        <w:t xml:space="preserve"> </w:t>
      </w:r>
      <w:r>
        <w:t xml:space="preserve">for transactional data. Blockchain databases (DBs) usually store millions of</w:t>
      </w:r>
      <w:r>
        <w:t xml:space="preserve"> </w:t>
      </w:r>
      <w:r>
        <w:t xml:space="preserve">transactions; e.g., as of late December 2025 Bitcoin has more than 1.2 billion</w:t>
      </w:r>
      <w:r>
        <w:t xml:space="preserve"> </w:t>
      </w:r>
      <w:r>
        <w:t xml:space="preserve">transactions and Ethereum more than 3.2 billion. This offers an opportunity to</w:t>
      </w:r>
      <w:r>
        <w:t xml:space="preserve"> </w:t>
      </w:r>
      <w:r>
        <w:t xml:space="preserve">perform data analysis, which helps us understand the relationships and dynamics</w:t>
      </w:r>
      <w:r>
        <w:t xml:space="preserve"> </w:t>
      </w:r>
      <w:r>
        <w:t xml:space="preserve">among their users (participants).</w:t>
      </w:r>
    </w:p>
    <w:p>
      <w:pPr>
        <w:pStyle w:val="BodyText"/>
      </w:pPr>
      <w:r>
        <w:t xml:space="preserve">Graph DBs (GDBs) stand out for their ability to manage graphs and query the</w:t>
      </w:r>
      <w:r>
        <w:t xml:space="preserve"> </w:t>
      </w:r>
      <w:r>
        <w:t xml:space="preserve">relationships between their nodes. Unlike relational DBs (RDBs), which use</w:t>
      </w:r>
      <w:r>
        <w:t xml:space="preserve"> </w:t>
      </w:r>
      <w:r>
        <w:t xml:space="preserve">relations (informally, tables) to store data, GDBs represent data as nodes and the</w:t>
      </w:r>
      <w:r>
        <w:t xml:space="preserve"> </w:t>
      </w:r>
      <w:r>
        <w:t xml:space="preserve">relationships between them as edges (edges can also carry data), facilitating the</w:t>
      </w:r>
      <w:r>
        <w:t xml:space="preserve"> </w:t>
      </w:r>
      <w:r>
        <w:t xml:space="preserve">formulation of neighborhood queries, e.g., finding the nodes connected to a given</w:t>
      </w:r>
      <w:r>
        <w:t xml:space="preserve"> </w:t>
      </w:r>
      <w:r>
        <w:t xml:space="preserve">node. This capability is well suited for modeling a blockchain DB, where blocks,</w:t>
      </w:r>
      <w:r>
        <w:t xml:space="preserve"> </w:t>
      </w:r>
      <w:r>
        <w:t xml:space="preserve">transactions, and user accounts are interconnected, i.e., they form a network (a</w:t>
      </w:r>
      <w:r>
        <w:t xml:space="preserve"> </w:t>
      </w:r>
      <w:r>
        <w:t xml:space="preserve">graph). Thus, the convergence of blockchain and GDBs offers opportunities for</w:t>
      </w:r>
      <w:r>
        <w:t xml:space="preserve"> </w:t>
      </w:r>
      <w:r>
        <w:t xml:space="preserve">analyzing blockchain data modeled as a graph: representing a blockchain DB in a GDB</w:t>
      </w:r>
      <w:r>
        <w:t xml:space="preserve"> </w:t>
      </w:r>
      <w:r>
        <w:t xml:space="preserve">not only enables visualization of the network’s structure, but also facilitates the</w:t>
      </w:r>
      <w:r>
        <w:t xml:space="preserve"> </w:t>
      </w:r>
      <w:r>
        <w:t xml:space="preserve">formulation of queries to detect patterns, explore relationships between users, and</w:t>
      </w:r>
      <w:r>
        <w:t xml:space="preserve"> </w:t>
      </w:r>
      <w:r>
        <w:t xml:space="preserve">gain valuable insights about user behavior.</w:t>
      </w:r>
    </w:p>
    <w:p>
      <w:pPr>
        <w:pStyle w:val="BodyText"/>
      </w:pPr>
      <w:r>
        <w:t xml:space="preserve">However, blockchain data analysis using GDBs remains relatively underexplored (see</w:t>
      </w:r>
      <w:r>
        <w:t xml:space="preserve"> </w:t>
      </w:r>
      <w:r>
        <w:t xml:space="preserve">Section 2). The few existing studies, such as Estupiñán (2020) and Lin et al.</w:t>
      </w:r>
      <w:r>
        <w:t xml:space="preserve"> </w:t>
      </w:r>
      <w:r>
        <w:t xml:space="preserve">(2020), mainly address address clustering, performance evaluation, and link</w:t>
      </w:r>
      <w:r>
        <w:t xml:space="preserve"> </w:t>
      </w:r>
      <w:r>
        <w:t xml:space="preserve">prediction. The main contribution of this study lies in the analysis of the</w:t>
      </w:r>
      <w:r>
        <w:t xml:space="preserve"> </w:t>
      </w:r>
      <w:r>
        <w:t xml:space="preserve">Ethereum network using graph queries to identify patterns and relationships among</w:t>
      </w:r>
      <w:r>
        <w:t xml:space="preserve"> </w:t>
      </w:r>
      <w:r>
        <w:t xml:space="preserve">user accounts. Furthermore, the study introduces a formal graph model for the</w:t>
      </w:r>
      <w:r>
        <w:t xml:space="preserve"> </w:t>
      </w:r>
      <w:r>
        <w:t xml:space="preserve">Ethereum blockchain and examines the composition and interrelation of external and</w:t>
      </w:r>
      <w:r>
        <w:t xml:space="preserve"> </w:t>
      </w:r>
      <w:r>
        <w:t xml:space="preserve">internal transactions, an aspect not usually detailed in related work. The analysis</w:t>
      </w:r>
      <w:r>
        <w:t xml:space="preserve"> </w:t>
      </w:r>
      <w:r>
        <w:t xml:space="preserve">spans cumulative windows from 2 to 10,000 consecutive blocks and four distinct eras</w:t>
      </w:r>
      <w:r>
        <w:t xml:space="preserve"> </w:t>
      </w:r>
      <w:r>
        <w:t xml:space="preserve">of Ethereum’s history, in order to study how the observed interaction patterns</w:t>
      </w:r>
      <w:r>
        <w:t xml:space="preserve"> </w:t>
      </w:r>
      <w:r>
        <w:t xml:space="preserve">evolve over time.</w:t>
      </w:r>
    </w:p>
    <w:p>
      <w:pPr>
        <w:pStyle w:val="BodyText"/>
      </w:pPr>
      <w:r>
        <w:t xml:space="preserve">For the representation of a blockchain DB in a GDB, this work adopts a</w:t>
      </w:r>
      <w:r>
        <w:t xml:space="preserve"> </w:t>
      </w:r>
      <w:r>
        <w:t xml:space="preserve">trajectory-based graph perspective. A blockchain can naturally be modeled as a</w:t>
      </w:r>
      <w:r>
        <w:t xml:space="preserve"> </w:t>
      </w:r>
      <w:r>
        <w:t xml:space="preserve">trajectory, namely an ordered sequence of transactions anchored to a temporal</w:t>
      </w:r>
      <w:r>
        <w:t xml:space="preserve"> </w:t>
      </w:r>
      <w:r>
        <w:t xml:space="preserve">backbone formed by the sequence of blocks, where each block contains a set of</w:t>
      </w:r>
      <w:r>
        <w:t xml:space="preserve"> </w:t>
      </w:r>
      <w:r>
        <w:t xml:space="preserve">transactions. Under this representation, nodes correspond to blocks, transactions,</w:t>
      </w:r>
      <w:r>
        <w:t xml:space="preserve"> </w:t>
      </w:r>
      <w:r>
        <w:t xml:space="preserve">and user accounts, while edges represent (i) the temporal succession of blocks,</w:t>
      </w:r>
      <w:r>
        <w:t xml:space="preserve"> </w:t>
      </w:r>
      <w:r>
        <w:t xml:space="preserve">(ii) the participation of accounts as senders or receivers in transactions, and</w:t>
      </w:r>
      <w:r>
        <w:t xml:space="preserve"> </w:t>
      </w:r>
      <w:r>
        <w:t xml:space="preserve">(iii) the decomposition of external transactions into internal transactions. This</w:t>
      </w:r>
      <w:r>
        <w:t xml:space="preserve"> </w:t>
      </w:r>
      <w:r>
        <w:t xml:space="preserve">perspective enables trajectory-style analytics, such as the analysis of</w:t>
      </w:r>
      <w:r>
        <w:t xml:space="preserve"> </w:t>
      </w:r>
      <w:r>
        <w:t xml:space="preserve">sender–receiver behavior over a specific interval of blocks, and differs from a</w:t>
      </w:r>
      <w:r>
        <w:t xml:space="preserve"> </w:t>
      </w:r>
      <w:r>
        <w:t xml:space="preserve">conventional temporal-graph representation in that the ordered sequence of blocks</w:t>
      </w:r>
      <w:r>
        <w:t xml:space="preserve"> </w:t>
      </w:r>
      <w:r>
        <w:t xml:space="preserve">is the primary temporal backbone rather than a per-edge timestamp attribute.</w:t>
      </w:r>
    </w:p>
    <w:p>
      <w:pPr>
        <w:pStyle w:val="BodyText"/>
      </w:pPr>
      <w:r>
        <w:t xml:space="preserve">The remainder of the paper is organized as follows. Section 2 reviews related work</w:t>
      </w:r>
      <w:r>
        <w:t xml:space="preserve"> </w:t>
      </w:r>
      <w:r>
        <w:t xml:space="preserve">on trajectory modeling and blockchain analysis using GDBs. Section 3 introduces the</w:t>
      </w:r>
      <w:r>
        <w:t xml:space="preserve"> </w:t>
      </w:r>
      <w:r>
        <w:t xml:space="preserve">proposed model. Section 4 presents the experimental setup and results. Section 5</w:t>
      </w:r>
      <w:r>
        <w:t xml:space="preserve"> </w:t>
      </w:r>
      <w:r>
        <w:t xml:space="preserve">discusses the model’s capabilities, strengths, and limitations in light of the</w:t>
      </w:r>
      <w:r>
        <w:t xml:space="preserve"> </w:t>
      </w:r>
      <w:r>
        <w:t xml:space="preserve">scaled and cross-era experiments. Section 6 concludes and outlines future work.</w:t>
      </w:r>
    </w:p>
    <w:bookmarkEnd w:id="10"/>
    <w:bookmarkStart w:id="14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This section reviews existing studies on trajectory modeling and blockchain analysis</w:t>
      </w:r>
      <w:r>
        <w:t xml:space="preserve"> </w:t>
      </w:r>
      <w:r>
        <w:t xml:space="preserve">based on graph databases.</w:t>
      </w:r>
    </w:p>
    <w:bookmarkStart w:id="11" w:name="trajectory-modeling-with-gdbs"/>
    <w:p>
      <w:pPr>
        <w:pStyle w:val="Heading3"/>
      </w:pPr>
      <w:r>
        <w:t xml:space="preserve">2.1 Trajectory modeling with GDBs</w:t>
      </w:r>
    </w:p>
    <w:p>
      <w:pPr>
        <w:pStyle w:val="FirstParagraph"/>
      </w:pPr>
      <w:r>
        <w:t xml:space="preserve">In Bakkal et al. (2017), trajectories are modeled and implemented in Neo4j to build</w:t>
      </w:r>
      <w:r>
        <w:t xml:space="preserve"> </w:t>
      </w:r>
      <w:r>
        <w:t xml:space="preserve">a ridesharing (carpooling) system, using the Neo4j Spatial library for spatial</w:t>
      </w:r>
      <w:r>
        <w:t xml:space="preserve"> </w:t>
      </w:r>
      <w:r>
        <w:t xml:space="preserve">querying/indexing and GraphAware Neo4j TimeTree for second-level time</w:t>
      </w:r>
      <w:r>
        <w:t xml:space="preserve"> </w:t>
      </w:r>
      <w:r>
        <w:t xml:space="preserve">representation. A trajectory is represented by a set of nodes (user, moment in</w:t>
      </w:r>
      <w:r>
        <w:t xml:space="preserve"> </w:t>
      </w:r>
      <w:r>
        <w:t xml:space="preserve">time, position, and a link node connecting them); each link node is a point within</w:t>
      </w:r>
      <w:r>
        <w:t xml:space="preserve"> </w:t>
      </w:r>
      <w:r>
        <w:t xml:space="preserve">a trajectory. Experiments on the Geolife dataset (182 users, 18,000 trajectories)</w:t>
      </w:r>
      <w:r>
        <w:t xml:space="preserve"> </w:t>
      </w:r>
      <w:r>
        <w:t xml:space="preserve">demonstrate feasibility, though the results are not analyzed for broader</w:t>
      </w:r>
      <w:r>
        <w:t xml:space="preserve"> </w:t>
      </w:r>
      <w:r>
        <w:t xml:space="preserve">conclusions.</w:t>
      </w:r>
    </w:p>
    <w:p>
      <w:pPr>
        <w:pStyle w:val="BodyText"/>
      </w:pPr>
      <w:r>
        <w:t xml:space="preserve">Khan et al. (2017) present a performance comparison between a RDBMS (Oracle 11g)</w:t>
      </w:r>
      <w:r>
        <w:t xml:space="preserve"> </w:t>
      </w:r>
      <w:r>
        <w:t xml:space="preserve">and a GDBMS (Neo4j 3.0.3 Community) on healthcare data. Neo4j outperforms Oracle,</w:t>
      </w:r>
      <w:r>
        <w:t xml:space="preserve"> </w:t>
      </w:r>
      <w:r>
        <w:t xml:space="preserve">with the gap widening as the dataset grows, owing to Neo4j’s native handling of</w:t>
      </w:r>
      <w:r>
        <w:t xml:space="preserve"> </w:t>
      </w:r>
      <w:r>
        <w:t xml:space="preserve">relationships versus Oracle’s join operations.</w:t>
      </w:r>
    </w:p>
    <w:p>
      <w:pPr>
        <w:pStyle w:val="BodyText"/>
      </w:pPr>
      <w:r>
        <w:t xml:space="preserve">Gómez, Kuijpers &amp; Vaisman (2019) model semantic trajectories (STs) as a graph in</w:t>
      </w:r>
      <w:r>
        <w:t xml:space="preserve"> </w:t>
      </w:r>
      <w:r>
        <w:t xml:space="preserve">Neo4j and compare against a PostgreSQL implementation, defining aggregation</w:t>
      </w:r>
      <w:r>
        <w:t xml:space="preserve"> </w:t>
      </w:r>
      <w:r>
        <w:t xml:space="preserve">hierarchies for POI and temporal dimensions. GDB queries execute 1.2–7× faster than</w:t>
      </w:r>
      <w:r>
        <w:t xml:space="preserve"> </w:t>
      </w:r>
      <w:r>
        <w:t xml:space="preserve">their relational counterparts, except for transitive-closure queries, which perform</w:t>
      </w:r>
      <w:r>
        <w:t xml:space="preserve"> </w:t>
      </w:r>
      <w:r>
        <w:t xml:space="preserve">better relationally.</w:t>
      </w:r>
    </w:p>
    <w:p>
      <w:pPr>
        <w:pStyle w:val="BodyText"/>
      </w:pPr>
      <w:r>
        <w:t xml:space="preserve">Tamilmani &amp; Stefanakis (2019) model and analyze Semantically Enriched Simplified</w:t>
      </w:r>
      <w:r>
        <w:t xml:space="preserve"> </w:t>
      </w:r>
      <w:r>
        <w:t xml:space="preserve">Trajectories (SESTs) in Neo4j, applying the SED criterion and SELF structure for</w:t>
      </w:r>
      <w:r>
        <w:t xml:space="preserve"> </w:t>
      </w:r>
      <w:r>
        <w:t xml:space="preserve">semantics-preserving simplification, and focus on shortest/longest-trajectory and</w:t>
      </w:r>
      <w:r>
        <w:t xml:space="preserve"> </w:t>
      </w:r>
      <w:r>
        <w:t xml:space="preserve">collision-region queries.</w:t>
      </w:r>
    </w:p>
    <w:p>
      <w:pPr>
        <w:pStyle w:val="BodyText"/>
      </w:pPr>
      <w:r>
        <w:t xml:space="preserve">Karim et al. (2021) propose a framework for collecting, storing, and analyzing</w:t>
      </w:r>
      <w:r>
        <w:t xml:space="preserve"> </w:t>
      </w:r>
      <w:r>
        <w:t xml:space="preserve">pedestrian trajectories using PostGIS and Neo4j with spatial APIs, modeling</w:t>
      </w:r>
      <w:r>
        <w:t xml:space="preserve"> </w:t>
      </w:r>
      <w:r>
        <w:t xml:space="preserve">trajectory events, intents, and activities via a UML class diagram, though without</w:t>
      </w:r>
      <w:r>
        <w:t xml:space="preserve"> </w:t>
      </w:r>
      <w:r>
        <w:t xml:space="preserve">Neo4j implementation details or analytical queries.</w:t>
      </w:r>
    </w:p>
    <w:p>
      <w:pPr>
        <w:pStyle w:val="BodyText"/>
      </w:pPr>
      <w:r>
        <w:t xml:space="preserve">Xue et al. (2022) propose CoGAT, a graph-based model in Neo4j for Argo float</w:t>
      </w:r>
      <w:r>
        <w:t xml:space="preserve"> </w:t>
      </w:r>
      <w:r>
        <w:t xml:space="preserve">trajectories, modeling parking/surface segments and subtrajectories; it achieves</w:t>
      </w:r>
      <w:r>
        <w:t xml:space="preserve"> </w:t>
      </w:r>
      <w:r>
        <w:t xml:space="preserve">higher computational efficiency than an Oracle Spatial baseline (OSATDB).</w:t>
      </w:r>
    </w:p>
    <w:p>
      <w:pPr>
        <w:pStyle w:val="BodyText"/>
      </w:pPr>
      <w:r>
        <w:t xml:space="preserve">Elayam et al. (2022) introduce a hierarchical graph-based model for mobility data,</w:t>
      </w:r>
      <w:r>
        <w:t xml:space="preserve"> </w:t>
      </w:r>
      <w:r>
        <w:t xml:space="preserve">evaluated on the European maritime network, combining MovingPandas, Uber H3 spatial</w:t>
      </w:r>
      <w:r>
        <w:t xml:space="preserve"> </w:t>
      </w:r>
      <w:r>
        <w:t xml:space="preserve">indexing, and Neo4j to support analysis at micro, meso, and macro levels.</w:t>
      </w:r>
    </w:p>
    <w:bookmarkEnd w:id="11"/>
    <w:bookmarkStart w:id="12" w:name="blockchain-analysis-with-gdbs"/>
    <w:p>
      <w:pPr>
        <w:pStyle w:val="Heading3"/>
      </w:pPr>
      <w:r>
        <w:t xml:space="preserve">2.2 Blockchain analysis with GDBs</w:t>
      </w:r>
    </w:p>
    <w:p>
      <w:pPr>
        <w:pStyle w:val="FirstParagraph"/>
      </w:pPr>
      <w:r>
        <w:t xml:space="preserve">Estupiñán (2020) analyses Ethereum-blockchain modelling, loading, and querying with</w:t>
      </w:r>
      <w:r>
        <w:t xml:space="preserve"> </w:t>
      </w:r>
      <w:r>
        <w:t xml:space="preserve">Neo4j, JanusGraph, and DSE Graph, focusing on address-clustering (airdrop</w:t>
      </w:r>
      <w:r>
        <w:t xml:space="preserve"> </w:t>
      </w:r>
      <w:r>
        <w:t xml:space="preserve">multi-participation and deposit-address re-use, per Victor 2019). Two graph models</w:t>
      </w:r>
      <w:r>
        <w:t xml:space="preserve"> </w:t>
      </w:r>
      <w:r>
        <w:t xml:space="preserve">(transaction-as-node and transaction-as-edge) are implemented; Neo4j and DSE Graph</w:t>
      </w:r>
      <w:r>
        <w:t xml:space="preserve"> </w:t>
      </w:r>
      <w:r>
        <w:t xml:space="preserve">perform best with transaction-as-node, and indexing is decisive for query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Lin et al. (2020) model Ethereum transaction records as a temporal weighted</w:t>
      </w:r>
      <w:r>
        <w:t xml:space="preserve"> </w:t>
      </w:r>
      <w:r>
        <w:t xml:space="preserve">multidigraph (TWMDG) and introduce temporal random-walk strategies for link</w:t>
      </w:r>
      <w:r>
        <w:t xml:space="preserve"> </w:t>
      </w:r>
      <w:r>
        <w:t xml:space="preserve">prediction, outperforming traditional random-walk techniques on real Ethereum data.</w:t>
      </w:r>
    </w:p>
    <w:bookmarkEnd w:id="12"/>
    <w:bookmarkStart w:id="13" w:name="positioning"/>
    <w:p>
      <w:pPr>
        <w:pStyle w:val="Heading3"/>
      </w:pPr>
      <w:r>
        <w:t xml:space="preserve">2.3 Positioning</w:t>
      </w:r>
    </w:p>
    <w:p>
      <w:pPr>
        <w:pStyle w:val="FirstParagraph"/>
      </w:pPr>
      <w:r>
        <w:t xml:space="preserve">Most previous works are trajectory-centric, focusing on spatial/temporal features,</w:t>
      </w:r>
      <w:r>
        <w:t xml:space="preserve"> </w:t>
      </w:r>
      <w:r>
        <w:t xml:space="preserve">performance comparisons in Neo4j, or semantic simplification, rather than on</w:t>
      </w:r>
      <w:r>
        <w:t xml:space="preserve"> </w:t>
      </w:r>
      <w:r>
        <w:t xml:space="preserve">blockchain analytics in a GDB. Although Ethereum has been modeled as a TWMDG for</w:t>
      </w:r>
      <w:r>
        <w:t xml:space="preserve"> </w:t>
      </w:r>
      <w:r>
        <w:t xml:space="preserve">link prediction (Lin et al., 2020) and as a graph for address-clustering and</w:t>
      </w:r>
      <w:r>
        <w:t xml:space="preserve"> </w:t>
      </w:r>
      <w:r>
        <w:t xml:space="preserve">query-performance studies (Estupiñán, 2020), limited attention has been given to</w:t>
      </w:r>
      <w:r>
        <w:t xml:space="preserve"> </w:t>
      </w:r>
      <w:r>
        <w:t xml:space="preserve">formal graph-based models supporting broader analytical processing of blockchain</w:t>
      </w:r>
      <w:r>
        <w:t xml:space="preserve"> </w:t>
      </w:r>
      <w:r>
        <w:t xml:space="preserve">data. The proposed contribution addresses this gap with a formal model enabling</w:t>
      </w:r>
      <w:r>
        <w:t xml:space="preserve"> </w:t>
      </w:r>
      <w:r>
        <w:t xml:space="preserve">graph-style analytical queries over Ethereum data — including both external and</w:t>
      </w:r>
      <w:r>
        <w:t xml:space="preserve"> </w:t>
      </w:r>
      <w:r>
        <w:t xml:space="preserve">internal transactions — and demonstrates it at scale (up to 10,000 blocks) and</w:t>
      </w:r>
      <w:r>
        <w:t xml:space="preserve"> </w:t>
      </w:r>
      <w:r>
        <w:t xml:space="preserve">across four eras. Table 1 summarizes the analyzed works and their limitations.</w:t>
      </w:r>
    </w:p>
    <w:bookmarkEnd w:id="13"/>
    <w:bookmarkEnd w:id="14"/>
    <w:bookmarkStart w:id="19" w:name="model-definition"/>
    <w:p>
      <w:pPr>
        <w:pStyle w:val="Heading2"/>
      </w:pPr>
      <w:r>
        <w:t xml:space="preserve">3. Model definition</w:t>
      </w:r>
    </w:p>
    <w:p>
      <w:pPr>
        <w:pStyle w:val="FirstParagraph"/>
      </w:pPr>
      <w:r>
        <w:t xml:space="preserve">The proposed model is designed around the notion of a blockchain trajectory: an</w:t>
      </w:r>
      <w:r>
        <w:t xml:space="preserve"> </w:t>
      </w:r>
      <w:r>
        <w:t xml:space="preserve">ordered sequence of consecutive blocks that defines the temporal progression of</w:t>
      </w:r>
      <w:r>
        <w:t xml:space="preserve"> </w:t>
      </w:r>
      <w:r>
        <w:t xml:space="preserve">blockchain activity. Each block is a trajectory point, and the transactions</w:t>
      </w:r>
      <w:r>
        <w:t xml:space="preserve"> </w:t>
      </w:r>
      <w:r>
        <w:t xml:space="preserve">recorded in that block are the activity associated with that point. This</w:t>
      </w:r>
      <w:r>
        <w:t xml:space="preserve"> </w:t>
      </w:r>
      <w:r>
        <w:t xml:space="preserve">interpretation enables the analysis of Ethereum behavior over block windows while</w:t>
      </w:r>
      <w:r>
        <w:t xml:space="preserve"> </w:t>
      </w:r>
      <w:r>
        <w:t xml:space="preserve">preserving the relationships among blocks, accounts, external transactions, and</w:t>
      </w:r>
      <w:r>
        <w:t xml:space="preserve"> </w:t>
      </w:r>
      <w:r>
        <w:t xml:space="preserve">internal transactions.</w:t>
      </w:r>
    </w:p>
    <w:p>
      <w:pPr>
        <w:pStyle w:val="BodyText"/>
      </w:pPr>
      <w:r>
        <w:t xml:space="preserve">Ethereum distinguishes two transaction types. An</w:t>
      </w:r>
      <w:r>
        <w:t xml:space="preserve"> </w:t>
      </w:r>
      <w:r>
        <w:rPr>
          <w:b/>
          <w:bCs/>
        </w:rPr>
        <w:t xml:space="preserve">external transaction</w:t>
      </w:r>
      <w:r>
        <w:t xml:space="preserve"> </w:t>
      </w:r>
      <w:r>
        <w:t xml:space="preserve">is a</w:t>
      </w:r>
      <w:r>
        <w:t xml:space="preserve"> </w:t>
      </w:r>
      <w:r>
        <w:t xml:space="preserve">user-initiated action submitted by an Externally Owned Account (EOA), recorded</w:t>
      </w:r>
      <w:r>
        <w:t xml:space="preserve"> </w:t>
      </w:r>
      <w:r>
        <w:t xml:space="preserve">directly in a block and uniquely identified by a transaction hash. An</w:t>
      </w:r>
      <w: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is a value transfer or contract call triggered during the execution</w:t>
      </w:r>
      <w:r>
        <w:t xml:space="preserve"> </w:t>
      </w:r>
      <w:r>
        <w:t xml:space="preserve">of an external transaction through smart-contract code; it is identified by its</w:t>
      </w:r>
      <w:r>
        <w:t xml:space="preserve"> </w:t>
      </w:r>
      <w:r>
        <w:t xml:space="preserve">parent external transaction together with a sequential number.</w:t>
      </w:r>
    </w:p>
    <w:bookmarkStart w:id="15" w:name="block-node"/>
    <w:p>
      <w:pPr>
        <w:pStyle w:val="Heading3"/>
      </w:pPr>
      <w:r>
        <w:t xml:space="preserve">3.1 Block node</w:t>
      </w:r>
    </w:p>
    <w:p>
      <w:pPr>
        <w:pStyle w:val="FirstParagraph"/>
      </w:pPr>
      <w:r>
        <w:t xml:space="preserve">Attributes:</w:t>
      </w:r>
      <w:r>
        <w:t xml:space="preserve"> </w:t>
      </w:r>
      <w:r>
        <w:rPr>
          <w:rStyle w:val="VerbatimChar"/>
        </w:rPr>
        <w:t xml:space="preserve">blockNumber</w:t>
      </w:r>
      <w:r>
        <w:t xml:space="preserve"> </w:t>
      </w:r>
      <w:r>
        <w:t xml:space="preserve">(the block height, unique) and</w:t>
      </w:r>
      <w:r>
        <w:t xml:space="preserve"> </w:t>
      </w:r>
      <w:r>
        <w:rPr>
          <w:rStyle w:val="VerbatimChar"/>
        </w:rPr>
        <w:t xml:space="preserve">dateCreation</w:t>
      </w:r>
      <w:r>
        <w:t xml:space="preserve"> </w:t>
      </w:r>
      <w:r>
        <w:t xml:space="preserve">(creation</w:t>
      </w:r>
      <w:r>
        <w:t xml:space="preserve"> </w:t>
      </w:r>
      <w:r>
        <w:t xml:space="preserve">timestamp). Datatype:</w:t>
      </w:r>
      <w:r>
        <w:t xml:space="preserve"> </w:t>
      </w:r>
      <w:r>
        <w:rPr>
          <w:rStyle w:val="VerbatimChar"/>
        </w:rPr>
        <w:t xml:space="preserve">NblockDt = (blockNumber, dateCreation)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blockNumber ∈ ℕ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dateCreation ∈ Timestamp</w:t>
      </w:r>
      <w:r>
        <w:t xml:space="preserve">.</w:t>
      </w:r>
    </w:p>
    <w:bookmarkEnd w:id="15"/>
    <w:bookmarkStart w:id="16" w:name="transaction-node"/>
    <w:p>
      <w:pPr>
        <w:pStyle w:val="Heading3"/>
      </w:pPr>
      <w:r>
        <w:t xml:space="preserve">3.2 Transaction node</w:t>
      </w:r>
    </w:p>
    <w:p>
      <w:pPr>
        <w:pStyle w:val="FirstParagraph"/>
      </w:pPr>
      <w:r>
        <w:t xml:space="preserve">Attributes:</w:t>
      </w:r>
      <w:r>
        <w:t xml:space="preserve"> </w:t>
      </w:r>
      <w:r>
        <w:rPr>
          <w:rStyle w:val="VerbatimChar"/>
        </w:rPr>
        <w:t xml:space="preserve">transactionHash</w:t>
      </w:r>
      <w:r>
        <w:t xml:space="preserve"> </w:t>
      </w:r>
      <w:r>
        <w:t xml:space="preserve">(unique id of an external transaction; empty for</w:t>
      </w:r>
      <w:r>
        <w:t xml:space="preserve"> </w:t>
      </w:r>
      <w:r>
        <w:t xml:space="preserve">internal),</w:t>
      </w:r>
      <w:r>
        <w:t xml:space="preserve"> </w:t>
      </w:r>
      <w:r>
        <w:rPr>
          <w:rStyle w:val="VerbatimChar"/>
        </w:rPr>
        <w:t xml:space="preserve">isInternalTransaction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(ETH transferred),</w:t>
      </w:r>
      <w:r>
        <w:t xml:space="preserve"> </w:t>
      </w:r>
      <w:r>
        <w:rPr>
          <w:rStyle w:val="VerbatimChar"/>
        </w:rPr>
        <w:t xml:space="preserve">sequenceId</w:t>
      </w:r>
      <w:r>
        <w:t xml:space="preserve"> </w:t>
      </w:r>
      <w:r>
        <w:t xml:space="preserve">(per-parent counter for internal transactions), and</w:t>
      </w:r>
      <w:r>
        <w:t xml:space="preserve"> </w:t>
      </w:r>
      <w:r>
        <w:rPr>
          <w:rStyle w:val="VerbatimChar"/>
        </w:rPr>
        <w:t xml:space="preserve">parentTransactionHash</w:t>
      </w:r>
      <w:r>
        <w:t xml:space="preserve"> </w:t>
      </w:r>
      <w:r>
        <w:t xml:space="preserve">(for internal transactions).</w:t>
      </w:r>
      <w:r>
        <w:t xml:space="preserve"> </w:t>
      </w:r>
      <w:r>
        <w:t xml:space="preserve">Datatype:</w:t>
      </w:r>
      <w:r>
        <w:t xml:space="preserve"> </w:t>
      </w:r>
      <w:r>
        <w:rPr>
          <w:rStyle w:val="VerbatimChar"/>
        </w:rPr>
        <w:t xml:space="preserve">NtransactionDt = (transactionHash, isInternalTransaction, value, sequenceId, parentTransactionHash)</w:t>
      </w:r>
      <w:r>
        <w:t xml:space="preserve">.</w:t>
      </w:r>
    </w:p>
    <w:bookmarkEnd w:id="16"/>
    <w:bookmarkStart w:id="17" w:name="account-node"/>
    <w:p>
      <w:pPr>
        <w:pStyle w:val="Heading3"/>
      </w:pPr>
      <w:r>
        <w:t xml:space="preserve">3.3 Account node</w:t>
      </w:r>
    </w:p>
    <w:p>
      <w:pPr>
        <w:pStyle w:val="FirstParagraph"/>
      </w:pPr>
      <w:r>
        <w:t xml:space="preserve">Attributes: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(unique id) and</w:t>
      </w:r>
      <w:r>
        <w:t xml:space="preserve"> </w:t>
      </w:r>
      <w:r>
        <w:rPr>
          <w:rStyle w:val="VerbatimChar"/>
        </w:rPr>
        <w:t xml:space="preserve">isContract</w:t>
      </w:r>
      <w:r>
        <w:t xml:space="preserve"> </w:t>
      </w:r>
      <w:r>
        <w:t xml:space="preserve">(Boolean: contract vs EOA).</w:t>
      </w:r>
      <w:r>
        <w:t xml:space="preserve"> </w:t>
      </w:r>
      <w:r>
        <w:t xml:space="preserve">Datatype:</w:t>
      </w:r>
      <w:r>
        <w:t xml:space="preserve"> </w:t>
      </w:r>
      <w:r>
        <w:rPr>
          <w:rStyle w:val="VerbatimChar"/>
        </w:rPr>
        <w:t xml:space="preserve">NaccountDt = (address, isContract)</w:t>
      </w:r>
      <w:r>
        <w:t xml:space="preserve">.</w:t>
      </w:r>
    </w:p>
    <w:p>
      <w:pPr>
        <w:pStyle w:val="BlockText"/>
      </w:pPr>
      <w:r>
        <w:t xml:space="preserve">The account model deliberately carries only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isContract</w:t>
      </w:r>
      <w:r>
        <w:t xml:space="preserve">. A balance</w:t>
      </w:r>
      <w:r>
        <w:t xml:space="preserve"> </w:t>
      </w:r>
      <w:r>
        <w:t xml:space="preserve">attribute is intentionally excluded: none of the analytical queries depend on it,</w:t>
      </w:r>
      <w:r>
        <w:t xml:space="preserve"> </w:t>
      </w:r>
      <w:r>
        <w:t xml:space="preserve">and a current-balance value would not correspond to an account’s state during the</w:t>
      </w:r>
      <w:r>
        <w:t xml:space="preserve"> </w:t>
      </w:r>
      <w:r>
        <w:t xml:space="preserve">analyzed block window, so it is not meaningful for the historical, window-based</w:t>
      </w:r>
      <w:r>
        <w:t xml:space="preserve"> </w:t>
      </w:r>
      <w:r>
        <w:t xml:space="preserve">analysis pursued here. Block nodes likewise retain only number and timestamp.</w:t>
      </w:r>
    </w:p>
    <w:bookmarkEnd w:id="17"/>
    <w:bookmarkStart w:id="18" w:name="edges"/>
    <w:p>
      <w:pPr>
        <w:pStyle w:val="Heading3"/>
      </w:pPr>
      <w:r>
        <w:t xml:space="preserve">3.4 Edges</w:t>
      </w:r>
    </w:p>
    <w:p>
      <w:pPr>
        <w:pStyle w:val="FirstParagraph"/>
      </w:pPr>
      <w:r>
        <w:t xml:space="preserve">The model defines:</w:t>
      </w:r>
      <w:r>
        <w:t xml:space="preserve"> </w:t>
      </w:r>
      <w:r>
        <w:rPr>
          <w:b/>
          <w:bCs/>
        </w:rPr>
        <w:t xml:space="preserve">previous 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currentBlockNumber = previousBlockNumber + 1</w:t>
      </w:r>
      <w:r>
        <w:t xml:space="preserve">);</w:t>
      </w:r>
      <w:r>
        <w:t xml:space="preserve"> </w:t>
      </w:r>
      <w:r>
        <w:rPr>
          <w:b/>
          <w:bCs/>
        </w:rPr>
        <w:t xml:space="preserve">recorded in</w:t>
      </w:r>
      <w:r>
        <w:t xml:space="preserve"> </w:t>
      </w:r>
      <w:r>
        <w:t xml:space="preserve">(external transaction → containing block);</w:t>
      </w:r>
      <w:r>
        <w:t xml:space="preserve"> </w:t>
      </w:r>
      <w:r>
        <w:rPr>
          <w:b/>
          <w:bCs/>
        </w:rPr>
        <w:t xml:space="preserve">sent by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received by</w:t>
      </w:r>
      <w:r>
        <w:t xml:space="preserve"> </w:t>
      </w:r>
      <w:r>
        <w:t xml:space="preserve">(external transaction ↔ sender/receiver account);</w:t>
      </w:r>
      <w: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(external transaction → its internal transactions, keyed by</w:t>
      </w:r>
      <w:r>
        <w:t xml:space="preserve"> </w:t>
      </w:r>
      <w:r>
        <w:rPr>
          <w:rStyle w:val="VerbatimChar"/>
        </w:rPr>
        <w:t xml:space="preserve">parentTransactionHash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sequenceId</w:t>
      </w:r>
      <w:r>
        <w:t xml:space="preserve">); and</w:t>
      </w:r>
      <w:r>
        <w:t xml:space="preserve"> </w:t>
      </w:r>
      <w:r>
        <w:rPr>
          <w:b/>
          <w:bCs/>
        </w:rPr>
        <w:t xml:space="preserve">internal sent by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received by</w:t>
      </w:r>
      <w:r>
        <w:t xml:space="preserve"> </w:t>
      </w:r>
      <w:r>
        <w:t xml:space="preserve">(internal transaction ↔ sender/receiver account). Constraints and</w:t>
      </w:r>
      <w:r>
        <w:t xml:space="preserve"> </w:t>
      </w:r>
      <w:r>
        <w:t xml:space="preserve">datatypes are illustrated in Figures 2 and 3.</w:t>
      </w:r>
    </w:p>
    <w:bookmarkEnd w:id="18"/>
    <w:bookmarkEnd w:id="19"/>
    <w:bookmarkStart w:id="41" w:name="experiments"/>
    <w:p>
      <w:pPr>
        <w:pStyle w:val="Heading2"/>
      </w:pPr>
      <w:r>
        <w:t xml:space="preserve">4. Experiments</w:t>
      </w:r>
    </w:p>
    <w:p>
      <w:pPr>
        <w:pStyle w:val="FirstParagraph"/>
      </w:pPr>
      <w:r>
        <w:t xml:space="preserve">The experiments were conducted on a MacBook Air (Apple M4, 16 GB RAM, macOS Tahoe</w:t>
      </w:r>
      <w:r>
        <w:t xml:space="preserve"> </w:t>
      </w:r>
      <w:r>
        <w:t xml:space="preserve">26.3), with the GDB managed by a local instance of Neo4j Community Edition version</w:t>
      </w:r>
      <w:r>
        <w:t xml:space="preserve"> </w:t>
      </w:r>
      <w:r>
        <w:t xml:space="preserve">2026.01.3.</w:t>
      </w:r>
    </w:p>
    <w:bookmarkStart w:id="20" w:name="data-acquisition"/>
    <w:p>
      <w:pPr>
        <w:pStyle w:val="Heading3"/>
      </w:pPr>
      <w:r>
        <w:t xml:space="preserve">4.1 Data acquisition</w:t>
      </w:r>
    </w:p>
    <w:p>
      <w:pPr>
        <w:pStyle w:val="FirstParagraph"/>
      </w:pPr>
      <w:r>
        <w:t xml:space="preserve">Data were obtained from the public</w:t>
      </w:r>
      <w:r>
        <w:t xml:space="preserve"> </w:t>
      </w:r>
      <w:r>
        <w:rPr>
          <w:rStyle w:val="VerbatimChar"/>
        </w:rPr>
        <w:t xml:space="preserve">crypto_ethereum</w:t>
      </w:r>
      <w:r>
        <w:t xml:space="preserve"> </w:t>
      </w:r>
      <w:r>
        <w:t xml:space="preserve">dataset on Google BigQuery,</w:t>
      </w:r>
      <w:r>
        <w:t xml:space="preserve"> </w:t>
      </w:r>
      <w:r>
        <w:t xml:space="preserve">which mirrors the Ethereum blockchain and is updated continuously. Four tables were used: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 </w:t>
      </w:r>
      <w:r>
        <w:t xml:space="preserve">(number, timestamp),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(external transactions),</w:t>
      </w:r>
      <w:r>
        <w:t xml:space="preserve"> </w:t>
      </w:r>
      <w:r>
        <w:rPr>
          <w:rStyle w:val="VerbatimChar"/>
        </w:rPr>
        <w:t xml:space="preserve">traces</w:t>
      </w:r>
      <w:r>
        <w:t xml:space="preserve"> </w:t>
      </w:r>
      <w:r>
        <w:t xml:space="preserve">(internal</w:t>
      </w:r>
      <w:r>
        <w:t xml:space="preserve"> </w:t>
      </w:r>
      <w:r>
        <w:t xml:space="preserve">transactions, i.e. message calls generated during contract execution), and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 </w:t>
      </w:r>
      <w:r>
        <w:t xml:space="preserve">(deployed contract accounts). For a given block window, a small set of</w:t>
      </w:r>
      <w:r>
        <w:t xml:space="preserve"> </w:t>
      </w:r>
      <w:r>
        <w:t xml:space="preserve">queries retrieves all blocks, external transactions, and internal transactions,</w:t>
      </w:r>
      <w:r>
        <w:t xml:space="preserve"> </w:t>
      </w:r>
      <w:r>
        <w:t xml:space="preserve">together with the participating accounts. An account is classified as a smart</w:t>
      </w:r>
      <w:r>
        <w:t xml:space="preserve"> </w:t>
      </w:r>
      <w:r>
        <w:t xml:space="preserve">contract when it appears in the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 </w:t>
      </w:r>
      <w:r>
        <w:t xml:space="preserve">table with a deployment block no later</w:t>
      </w:r>
      <w:r>
        <w:t xml:space="preserve"> </w:t>
      </w:r>
      <w:r>
        <w:t xml:space="preserve">than the end of the window — a point-in-time classification consistent with the</w:t>
      </w:r>
      <w:r>
        <w:t xml:space="preserve"> </w:t>
      </w:r>
      <w:r>
        <w:t xml:space="preserve">analyzed window. Internal transactions are operationalized as successful,</w:t>
      </w:r>
      <w:r>
        <w:t xml:space="preserve"> </w:t>
      </w:r>
      <w:r>
        <w:t xml:space="preserve">value-transferring sub-calls (traces with a non-empty trace address and non-zero</w:t>
      </w:r>
      <w:r>
        <w:t xml:space="preserve"> </w:t>
      </w:r>
      <w:r>
        <w:t xml:space="preserve">value); purely zero-value message calls are thus excluded. This understates the</w:t>
      </w:r>
      <w:r>
        <w:t xml:space="preserve"> </w:t>
      </w:r>
      <w:r>
        <w:t xml:space="preserve">absolute count of internal calls, but the criterion is applied uniformly across all</w:t>
      </w:r>
      <w:r>
        <w:t xml:space="preserve"> </w:t>
      </w:r>
      <w:r>
        <w:t xml:space="preserve">eras and window sizes, so the internal-to-external ratios reported in Section 4.4</w:t>
      </w:r>
      <w:r>
        <w:t xml:space="preserve"> </w:t>
      </w:r>
      <w:r>
        <w:t xml:space="preserve">remain comparable. Because the BigQuery tables are partitioned by day on their</w:t>
      </w:r>
      <w:r>
        <w:t xml:space="preserve"> </w:t>
      </w:r>
      <w:r>
        <w:t xml:space="preserve">timestamp column, the extraction queries constrain both the block-number range and</w:t>
      </w:r>
      <w:r>
        <w:t xml:space="preserve"> </w:t>
      </w:r>
      <w:r>
        <w:t xml:space="preserve">the corresponding block-timestamp range so that only the relevant daily partitions</w:t>
      </w:r>
      <w:r>
        <w:t xml:space="preserve"> </w:t>
      </w:r>
      <w:r>
        <w:t xml:space="preserve">are scanned; this reduces the data processed for a 100-block window from several</w:t>
      </w:r>
      <w:r>
        <w:t xml:space="preserve"> </w:t>
      </w:r>
      <w:r>
        <w:t xml:space="preserve">terabytes to a few gigabytes.</w:t>
      </w:r>
    </w:p>
    <w:p>
      <w:pPr>
        <w:pStyle w:val="BodyText"/>
      </w:pPr>
      <w:r>
        <w:t xml:space="preserve">The retrieved rows are written to Neo4j in batches using parameterized</w:t>
      </w:r>
      <w:r>
        <w:t xml:space="preserve"> </w:t>
      </w:r>
      <w:r>
        <w:rPr>
          <w:rStyle w:val="VerbatimChar"/>
        </w:rPr>
        <w:t xml:space="preserve">UNWIND</w:t>
      </w:r>
      <w:r>
        <w:t xml:space="preserve"> </w:t>
      </w:r>
      <w:r>
        <w:t xml:space="preserve">statements, with uniqueness constraints declared in advance on</w:t>
      </w:r>
      <w:r>
        <w:t xml:space="preserve"> </w:t>
      </w:r>
      <w:r>
        <w:rPr>
          <w:rStyle w:val="VerbatimChar"/>
        </w:rPr>
        <w:t xml:space="preserve">Block.number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ExternalTransaction.transactionHash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User.address</w:t>
      </w:r>
      <w:r>
        <w:t xml:space="preserve">, and a composite index on</w:t>
      </w:r>
      <w:r>
        <w:t xml:space="preserve"> </w:t>
      </w:r>
      <w:r>
        <w:t xml:space="preserve">the internal-transaction key. With this design the dominant cost is neither data</w:t>
      </w:r>
      <w:r>
        <w:t xml:space="preserve"> </w:t>
      </w:r>
      <w:r>
        <w:t xml:space="preserve">acquisition nor writing, and the analysis scales to windows of up to ten thousand</w:t>
      </w:r>
      <w:r>
        <w:t xml:space="preserve"> </w:t>
      </w:r>
      <w:r>
        <w:t xml:space="preserve">blocks.</w:t>
      </w:r>
    </w:p>
    <w:bookmarkEnd w:id="20"/>
    <w:bookmarkStart w:id="21" w:name="experimental-design"/>
    <w:p>
      <w:pPr>
        <w:pStyle w:val="Heading3"/>
      </w:pPr>
      <w:r>
        <w:t xml:space="preserve">4.2 Experimental design</w:t>
      </w:r>
    </w:p>
    <w:p>
      <w:pPr>
        <w:pStyle w:val="FirstParagraph"/>
      </w:pPr>
      <w:r>
        <w:t xml:space="preserve">Queries are evaluated over cumulative, nested block ranges:</w:t>
      </w:r>
      <w:r>
        <w:t xml:space="preserve"> </w:t>
      </w:r>
      <w:r>
        <w:rPr>
          <w:b/>
          <w:bCs/>
        </w:rPr>
        <w:t xml:space="preserve">2, 10, 50, 100,</w:t>
      </w:r>
      <w:r>
        <w:rPr>
          <w:b/>
          <w:bCs/>
        </w:rPr>
        <w:t xml:space="preserve"> </w:t>
      </w:r>
      <w:r>
        <w:rPr>
          <w:b/>
          <w:bCs/>
        </w:rPr>
        <w:t xml:space="preserve">1,000, and 10,000</w:t>
      </w:r>
      <w:r>
        <w:t xml:space="preserve"> </w:t>
      </w:r>
      <w:r>
        <w:t xml:space="preserve">consecutive blocks.</w:t>
      </w:r>
      <w:r>
        <w:t xml:space="preserve"> </w:t>
      </w:r>
      <w:r>
        <w:t xml:space="preserve">The same ladder is evaluated over four</w:t>
      </w:r>
      <w:r>
        <w:t xml:space="preserve"> </w:t>
      </w:r>
      <w:r>
        <w:rPr>
          <w:b/>
          <w:bCs/>
        </w:rPr>
        <w:t xml:space="preserve">eras</w:t>
      </w:r>
      <w:r>
        <w:t xml:space="preserve"> </w:t>
      </w:r>
      <w:r>
        <w:t xml:space="preserve">drawn from structurally distinct</w:t>
      </w:r>
      <w:r>
        <w:t xml:space="preserve"> </w:t>
      </w:r>
      <w:r>
        <w:t xml:space="preserve">periods of Ethereum’s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1980"/>
        <w:gridCol w:w="3503"/>
        <w:gridCol w:w="1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t xml:space="preserve">Start block</w:t>
            </w:r>
          </w:p>
        </w:tc>
        <w:tc>
          <w:tcPr/>
          <w:p>
            <w:pPr>
              <w:pStyle w:val="Compact"/>
            </w:pPr>
            <w:r>
              <w:t xml:space="preserve">Date (10k-block span)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Pre-DeFi (2016)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Aug 02–04, 2016</w:t>
            </w:r>
          </w:p>
        </w:tc>
        <w:tc>
          <w:tcPr/>
          <w:p>
            <w:pPr>
              <w:pStyle w:val="Compact"/>
            </w:pPr>
            <w:r>
              <w:t xml:space="preserve">sparse activity, few internal transactions, prior to WETH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 Summer (2020)</w:t>
            </w:r>
          </w:p>
        </w:tc>
        <w:tc>
          <w:tcPr/>
          <w:p>
            <w:pPr>
              <w:pStyle w:val="Compact"/>
            </w:pPr>
            <w:r>
              <w:t xml:space="preserve">10,700,000</w:t>
            </w:r>
          </w:p>
        </w:tc>
        <w:tc>
          <w:tcPr/>
          <w:p>
            <w:pPr>
              <w:pStyle w:val="Compact"/>
            </w:pPr>
            <w:r>
              <w:t xml:space="preserve">Aug 20–22, 2020</w:t>
            </w:r>
          </w:p>
        </w:tc>
        <w:tc>
          <w:tcPr/>
          <w:p>
            <w:pPr>
              <w:pStyle w:val="Compact"/>
            </w:pPr>
            <w:r>
              <w:t xml:space="preserve">rise of WETH/decentralized exchanges, PoW gas competition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Post-Merge (2023)</w:t>
            </w:r>
          </w:p>
        </w:tc>
        <w:tc>
          <w:tcPr/>
          <w:p>
            <w:pPr>
              <w:pStyle w:val="Compact"/>
            </w:pPr>
            <w:r>
              <w:t xml:space="preserve">17,000,000</w:t>
            </w:r>
          </w:p>
        </w:tc>
        <w:tc>
          <w:tcPr/>
          <w:p>
            <w:pPr>
              <w:pStyle w:val="Compact"/>
            </w:pPr>
            <w:r>
              <w:t xml:space="preserve">Apr 07–09, 2023</w:t>
            </w:r>
          </w:p>
        </w:tc>
        <w:tc>
          <w:tcPr/>
          <w:p>
            <w:pPr>
              <w:pStyle w:val="Compact"/>
            </w:pPr>
            <w:r>
              <w:t xml:space="preserve">proof-of-stake, 12-second blocks, MEV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Post-Dencun (2024)</w:t>
            </w:r>
          </w:p>
        </w:tc>
        <w:tc>
          <w:tcPr/>
          <w:p>
            <w:pPr>
              <w:pStyle w:val="Compact"/>
            </w:pPr>
            <w:r>
              <w:t xml:space="preserve">20,512,878</w:t>
            </w:r>
          </w:p>
        </w:tc>
        <w:tc>
          <w:tcPr/>
          <w:p>
            <w:pPr>
              <w:pStyle w:val="Compact"/>
            </w:pPr>
            <w:r>
              <w:t xml:space="preserve">Aug 12–13, 2024</w:t>
            </w:r>
          </w:p>
        </w:tc>
        <w:tc>
          <w:tcPr/>
          <w:p>
            <w:pPr>
              <w:pStyle w:val="Compact"/>
            </w:pPr>
            <w:r>
              <w:t xml:space="preserve">post-Dencun, L2-oriented activity</w:t>
            </w:r>
          </w:p>
        </w:tc>
      </w:tr>
    </w:tbl>
    <w:p>
      <w:pPr>
        <w:pStyle w:val="BodyText"/>
      </w:pPr>
      <w:r>
        <w:t xml:space="preserve">The block count is held fixed across eras (the corresponding time spans are</w:t>
      </w:r>
      <w:r>
        <w:t xml:space="preserve"> </w:t>
      </w:r>
      <w:r>
        <w:t xml:space="preserve">reported above); because block-production rates and per-block transaction counts</w:t>
      </w:r>
      <w:r>
        <w:t xml:space="preserve"> </w:t>
      </w:r>
      <w:r>
        <w:t xml:space="preserve">differ across eras, the transaction volume for a fixed block count varies, and this</w:t>
      </w:r>
      <w:r>
        <w:t xml:space="preserve"> </w:t>
      </w:r>
      <w:r>
        <w:t xml:space="preserve">variation is itself part of the findings. All queries are executed unchanged in</w:t>
      </w:r>
      <w:r>
        <w:t xml:space="preserve"> </w:t>
      </w:r>
      <w:r>
        <w:t xml:space="preserve">every era. Queries are organized into four groups: (i) account activity by ETH</w:t>
      </w:r>
      <w:r>
        <w:t xml:space="preserve"> </w:t>
      </w:r>
      <w:r>
        <w:t xml:space="preserve">transferred, (ii) account activity by number of transactions, (iii) relationships</w:t>
      </w:r>
      <w:r>
        <w:t xml:space="preserve"> </w:t>
      </w:r>
      <w:r>
        <w:t xml:space="preserve">between accounts, and (iv) general transaction statistics. The complete per-run and</w:t>
      </w:r>
      <w:r>
        <w:t xml:space="preserve"> </w:t>
      </w:r>
      <w:r>
        <w:t xml:space="preserve">comparison outputs are in</w:t>
      </w:r>
      <w:r>
        <w:t xml:space="preserve"> </w:t>
      </w:r>
      <w:r>
        <w:rPr>
          <w:rStyle w:val="VerbatimChar"/>
        </w:rPr>
        <w:t xml:space="preserve">data/results/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data/output/</w:t>
      </w:r>
      <w:r>
        <w:t xml:space="preserve">.</w:t>
      </w:r>
    </w:p>
    <w:p>
      <w:pPr>
        <w:pStyle w:val="BodyText"/>
      </w:pPr>
      <w:r>
        <w:t xml:space="preserve">The external-transaction node is labelled</w:t>
      </w:r>
      <w:r>
        <w:t xml:space="preserve"> </w:t>
      </w:r>
      <w:r>
        <w:rPr>
          <w:rStyle w:val="VerbatimChar"/>
        </w:rPr>
        <w:t xml:space="preserve">ExternalTransaction</w:t>
      </w:r>
      <w:r>
        <w:t xml:space="preserve">. For example, the</w:t>
      </w:r>
      <w:r>
        <w:t xml:space="preserve"> </w:t>
      </w:r>
      <w:r>
        <w:t xml:space="preserve">ten accounts that received the most ETH:</w:t>
      </w:r>
    </w:p>
    <w:p>
      <w:pPr>
        <w:pStyle w:val="SourceCode"/>
      </w:pPr>
      <w:r>
        <w:rPr>
          <w:rStyle w:val="VerbatimChar"/>
        </w:rPr>
        <w:t xml:space="preserve">MATCH (u:User)-[:RECEIVED_BY]-&gt;(tx)</w:t>
      </w:r>
      <w:r>
        <w:br/>
      </w:r>
      <w:r>
        <w:rPr>
          <w:rStyle w:val="VerbatimChar"/>
        </w:rPr>
        <w:t xml:space="preserve">WITH u.address AS account,</w:t>
      </w:r>
      <w:r>
        <w:br/>
      </w:r>
      <w:r>
        <w:rPr>
          <w:rStyle w:val="VerbatimChar"/>
        </w:rPr>
        <w:t xml:space="preserve">     CASE WHEN tx:ExternalTransaction THEN tx.value</w:t>
      </w:r>
      <w:r>
        <w:br/>
      </w:r>
      <w:r>
        <w:rPr>
          <w:rStyle w:val="VerbatimChar"/>
        </w:rPr>
        <w:t xml:space="preserve">          WHEN tx:InternalTransaction THEN tx.amount END AS received_amount</w:t>
      </w:r>
      <w:r>
        <w:br/>
      </w:r>
      <w:r>
        <w:rPr>
          <w:rStyle w:val="VerbatimChar"/>
        </w:rPr>
        <w:t xml:space="preserve">RETURN account, SUM(received_amount) AS total_received</w:t>
      </w:r>
      <w:r>
        <w:br/>
      </w:r>
      <w:r>
        <w:rPr>
          <w:rStyle w:val="VerbatimChar"/>
        </w:rPr>
        <w:t xml:space="preserve">ORDER BY total_received DESC LIMIT 10</w:t>
      </w:r>
    </w:p>
    <w:bookmarkEnd w:id="21"/>
    <w:bookmarkStart w:id="28" w:name="X414a02d4983aa37a2008d50d34b712461638660"/>
    <w:p>
      <w:pPr>
        <w:pStyle w:val="Heading3"/>
      </w:pPr>
      <w:r>
        <w:t xml:space="preserve">4.3 Scaling within a single era (post-Dencun, 2024)</w:t>
      </w:r>
    </w:p>
    <w:p>
      <w:pPr>
        <w:pStyle w:val="FirstParagraph"/>
      </w:pPr>
      <w:r>
        <w:t xml:space="preserve">At 1,000 and 10,000 blocks (from block 20,512,878) the model operates efficiently</w:t>
      </w:r>
      <w:r>
        <w:t xml:space="preserve"> </w:t>
      </w:r>
      <w:r>
        <w:t xml:space="preserve">at scale and the patterns identified on small samples persist. The 10,000-block window comprises</w:t>
      </w:r>
      <w:r>
        <w:t xml:space="preserve"> </w:t>
      </w:r>
      <w:r>
        <w:rPr>
          <w:b/>
          <w:bCs/>
        </w:rPr>
        <w:t xml:space="preserve">1,530,170 external transactions, 849,527 internal transactions, and 532,348</w:t>
      </w:r>
      <w:r>
        <w:rPr>
          <w:b/>
          <w:bCs/>
        </w:rPr>
        <w:t xml:space="preserve"> </w:t>
      </w:r>
      <w:r>
        <w:rPr>
          <w:b/>
          <w:bCs/>
        </w:rPr>
        <w:t xml:space="preserve">distinct accounts</w:t>
      </w:r>
      <w:r>
        <w:t xml:space="preserve"> </w:t>
      </w:r>
      <w:r>
        <w:t xml:space="preserve">(about 5.3% smart contracts), a graph of ~2.9M nodes and ~5.8M</w:t>
      </w:r>
      <w:r>
        <w:t xml:space="preserve"> </w:t>
      </w:r>
      <w:r>
        <w:t xml:space="preserve">relationships. All queries execute in a few seconds on this graph once the</w:t>
      </w:r>
      <w:r>
        <w:t xml:space="preserve"> </w:t>
      </w:r>
      <w:r>
        <w:t xml:space="preserve">total-participation query is expressed in its single-traversal form (Section 4.6).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e 4. Top-ten accounts by total ETH received, across cumulative block ranges (2–10,000 blocks) in the post-Dencun 2024 era. The Wrapped Ether contract (0xc02a…56cc2) dominates the larger windows." title="" id="23" name="Picture"/>
            <a:graphic>
              <a:graphicData uri="http://schemas.openxmlformats.org/drawingml/2006/picture">
                <pic:pic>
                  <pic:nvPicPr>
                    <pic:cNvPr descr="figures/fig4_within2024_receiv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Top-ten accounts by total ETH received, across cumulative block ranges (2–10,000 blocks) in the post-Dencun 2024 era. The Wrapped Ether contract (0xc02a…56cc2) dominates the larger windows.</w:t>
      </w:r>
    </w:p>
    <w:p>
      <w:pPr>
        <w:pStyle w:val="BodyText"/>
      </w:pPr>
      <w:r>
        <w:rPr>
          <w:b/>
          <w:bCs/>
        </w:rPr>
        <w:t xml:space="preserve">Concentration is stable across window sizes.</w:t>
      </w:r>
      <w:r>
        <w:t xml:space="preserve"> </w:t>
      </w:r>
      <w:r>
        <w:t xml:space="preserve">The Wrapped Ether contract</w:t>
      </w:r>
      <w:r>
        <w:t xml:space="preserve"> </w:t>
      </w:r>
      <w:r>
        <w:t xml:space="preserve">(0xc02aaa39…756cc2) is the single most active account by overall transaction</w:t>
      </w:r>
      <w:r>
        <w:t xml:space="preserve"> </w:t>
      </w:r>
      <w:r>
        <w:t xml:space="preserve">participation at every window size, and its share is essentially flat as the window</w:t>
      </w:r>
      <w:r>
        <w:t xml:space="preserve"> </w:t>
      </w:r>
      <w:r>
        <w:t xml:space="preserve">grows: 7.00%, 6.03%, 5.76%, 5.92%, 5.96%, and 6.03% of all transaction</w:t>
      </w:r>
      <w:r>
        <w:t xml:space="preserve"> </w:t>
      </w:r>
      <w:r>
        <w:t xml:space="preserve">participations at 2, 10, 50, 100, 1,000, and 10,000 blocks respectively (Query</w:t>
      </w:r>
      <w:r>
        <w:t xml:space="preserve"> </w:t>
      </w:r>
      <w:r>
        <w:t xml:space="preserve">4.2.3; a participation is one sender or one receiver role in a transaction). If</w:t>
      </w:r>
      <w:r>
        <w:t xml:space="preserve"> </w:t>
      </w:r>
      <w:r>
        <w:t xml:space="preserve">anything the share is marginally highest at the smallest window. The Tether (USDT)</w:t>
      </w:r>
      <w:r>
        <w:t xml:space="preserve"> </w:t>
      </w:r>
      <w:r>
        <w:t xml:space="preserve">contract (0xdac17f95…831ec7) and the aggregator 0x3fc91a3a…2b7fad occupy the second</w:t>
      </w:r>
      <w:r>
        <w:t xml:space="preserve"> </w:t>
      </w:r>
      <w:r>
        <w:t xml:space="preserve">and third positions at every scale, swapping ranks 2↔3 between the smallest and</w:t>
      </w:r>
      <w:r>
        <w:t xml:space="preserve"> </w:t>
      </w:r>
      <w:r>
        <w:t xml:space="preserve">largest windows but never leaving the top three. The centrality of the key</w:t>
      </w:r>
      <w:r>
        <w:t xml:space="preserve"> </w:t>
      </w:r>
      <w:r>
        <w:t xml:space="preserve">intermediaries is thus a robust property of the network, well defined already at</w:t>
      </w:r>
      <w:r>
        <w:t xml:space="preserve"> </w:t>
      </w:r>
      <w:r>
        <w:t xml:space="preserve">small samples and neither sharpening nor dissipating as the window grows across</w:t>
      </w:r>
      <w:r>
        <w:t xml:space="preserve"> </w:t>
      </w:r>
      <w:r>
        <w:t xml:space="preserve">nearly four orders of magnitude.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e 5. Top-ten accounts by transaction-participation percentage, across cumulative block ranges (2–10,000 blocks) in the 2024 era. The curves for every window size overlap: Wrapped Ether (rank 1) holds between 5.8% and 7.0% of participations across all scales (highest at the smallest window), and the whole top-ten profile is stable." title="" id="26" name="Picture"/>
            <a:graphic>
              <a:graphicData uri="http://schemas.openxmlformats.org/drawingml/2006/picture">
                <pic:pic>
                  <pic:nvPicPr>
                    <pic:cNvPr descr="figures/fig5_within2024_participa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Top-ten accounts by transaction-participation percentage, across cumulative block ranges (2–10,000 blocks) in the 2024 era. The curves for every window size overlap: Wrapped Ether (rank 1) holds between 5.8% and 7.0% of participations across all scales (highest at the smallest window), and the whole top-ten profile is stable.</w:t>
      </w:r>
    </w:p>
    <w:p>
      <w:pPr>
        <w:pStyle w:val="BodyText"/>
      </w:pPr>
      <w:r>
        <w:rPr>
          <w:b/>
          <w:bCs/>
        </w:rPr>
        <w:t xml:space="preserve">Value distributions.</w:t>
      </w:r>
      <w:r>
        <w:t xml:space="preserve"> </w:t>
      </w:r>
      <w:r>
        <w:t xml:space="preserve">For external transactions the median transferred value is</w:t>
      </w:r>
      <w:r>
        <w:t xml:space="preserve"> </w:t>
      </w:r>
      <w:r>
        <w:t xml:space="preserve">0 ETH at every window size (Query 4.4.1), confirming that a</w:t>
      </w:r>
      <w:r>
        <w:t xml:space="preserve"> </w:t>
      </w:r>
      <w:r>
        <w:t xml:space="preserve">large fraction of external transactions are contract interactions carrying no direct</w:t>
      </w:r>
      <w:r>
        <w:t xml:space="preserve"> </w:t>
      </w:r>
      <w:r>
        <w:t xml:space="preserve">ETH transfer. The mean is dominated by rare large transfers: the maximum is already</w:t>
      </w:r>
      <w:r>
        <w:t xml:space="preserve"> </w:t>
      </w:r>
      <w:r>
        <w:t xml:space="preserve">~17,540 ETH by 1,000 blocks (17,568 ETH at 10,000) while the 75th percentile stays</w:t>
      </w:r>
      <w:r>
        <w:t xml:space="preserve"> </w:t>
      </w:r>
      <w:r>
        <w:t xml:space="preserve">~0.02–0.05 ETH. For internal transactions the mean amount is outlier-driven and</w:t>
      </w:r>
      <w:r>
        <w:t xml:space="preserve"> </w:t>
      </w:r>
      <w:r>
        <w:t xml:space="preserve">non-monotonic across the ladder (0.55, 6.07, 3.42, 2.71, 2.38, 1.92 ETH at 2, 10,</w:t>
      </w:r>
      <w:r>
        <w:t xml:space="preserve"> </w:t>
      </w:r>
      <w:r>
        <w:t xml:space="preserve">50, 100, 1,000, 10,000 blocks) while the median stays low and stable (~0.04 ETH) —</w:t>
      </w:r>
      <w:r>
        <w:t xml:space="preserve"> </w:t>
      </w:r>
      <w:r>
        <w:t xml:space="preserve">i.e. most internal transfers are small and a few large ones move the mean.</w:t>
      </w:r>
    </w:p>
    <w:bookmarkEnd w:id="28"/>
    <w:bookmarkStart w:id="38" w:name="cross-era-comparison"/>
    <w:p>
      <w:pPr>
        <w:pStyle w:val="Heading3"/>
      </w:pPr>
      <w:r>
        <w:t xml:space="preserve">4.4 Cross-era comparison</w:t>
      </w:r>
    </w:p>
    <w:p>
      <w:pPr>
        <w:pStyle w:val="FirstParagraph"/>
      </w:pPr>
      <w:r>
        <w:t xml:space="preserve">Running the same 10,000-block ladder in four eras shows how Ethereum’s interaction</w:t>
      </w:r>
      <w:r>
        <w:t xml:space="preserve"> </w:t>
      </w:r>
      <w:r>
        <w:t xml:space="preserve">structure has changed. Holding the block count fixed, the eras differ sharply: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6"/>
        <w:gridCol w:w="734"/>
        <w:gridCol w:w="734"/>
        <w:gridCol w:w="524"/>
        <w:gridCol w:w="839"/>
        <w:gridCol w:w="839"/>
        <w:gridCol w:w="996"/>
        <w:gridCol w:w="1678"/>
        <w:gridCol w:w="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 (start block)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External txs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Internal txs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Contract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ext-tx / 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internal/external</w:t>
            </w:r>
          </w:p>
        </w:tc>
        <w:tc>
          <w:tcPr/>
          <w:p>
            <w:pPr>
              <w:pStyle w:val="Compact"/>
            </w:pPr>
            <w:r>
              <w:t xml:space="preserve">Most-received account (rank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WETH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Pre-DeFi 2016 (2,000,000)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0xaa1a…6444 (contract)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 Summer 2020 (10,700,000)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1,878,933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385,042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0x7a25…488d — Uniswap V2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Post-Merge 2023 (17,000,000)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1,301,965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524,965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0x8358…28fe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Post-Dencun 2024 (20,512,878)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1,530,170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849,527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532,348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0xc02a…56cc2 — Wrapped 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CaptionedFigure"/>
      </w:pPr>
      <w:r>
        <w:drawing>
          <wp:inline>
            <wp:extent cx="5334000" cy="2286000"/>
            <wp:effectExtent b="0" l="0" r="0" t="0"/>
            <wp:docPr descr="Figure 6. Cross-era transaction volume at fixed 10,000-block windows. Left: external transactions per block rise from ~8 (2016) to 130–188 in the modern eras (densification). Right: the internal-to-external transaction ratio jumps from 0.20 (2016, 2020) to ~0.57 after the Merge (rising smart-contract complexity)." title="" id="30" name="Picture"/>
            <a:graphic>
              <a:graphicData uri="http://schemas.openxmlformats.org/drawingml/2006/picture">
                <pic:pic>
                  <pic:nvPicPr>
                    <pic:cNvPr descr="figures/fig6_cross_era_volum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Cross-era transaction volume at fixed 10,000-block windows. Left: external transactions per block rise from ~8 (2016) to 130–188 in the modern eras (densification). Right: the internal-to-external transaction ratio jumps from 0.20 (2016, 2020) to ~0.57 after the Merge (rising smart-contract complexity).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Densification.</w:t>
      </w:r>
      <w:r>
        <w:t xml:space="preserve"> </w:t>
      </w:r>
      <w:r>
        <w:t xml:space="preserve">External transactions per block rise from about 8 in 2016 to</w:t>
      </w:r>
      <w:r>
        <w:t xml:space="preserve"> </w:t>
      </w:r>
      <w:r>
        <w:t xml:space="preserve">130–190 in the modern eras (roughly twentyfold), so a fixed 10,000-block window</w:t>
      </w:r>
      <w:r>
        <w:t xml:space="preserve"> </w:t>
      </w:r>
      <w:r>
        <w:t xml:space="preserve">represents ~81k transactions in 2016 but ~1.3–1.9M in 2020–2024. The DeFi-Summer</w:t>
      </w:r>
      <w:r>
        <w:t xml:space="preserve"> </w:t>
      </w:r>
      <w:r>
        <w:t xml:space="preserve">window has the highest raw throughput (187.9 tx/block), consistent with the gas</w:t>
      </w:r>
      <w:r>
        <w:t xml:space="preserve"> </w:t>
      </w:r>
      <w:r>
        <w:t xml:space="preserve">competition of that period. Block count and transaction volume are therefore not</w:t>
      </w:r>
      <w:r>
        <w:t xml:space="preserve"> </w:t>
      </w:r>
      <w:r>
        <w:t xml:space="preserve">interchangeable across eras — the block-trajectory model fixes the former and</w:t>
      </w:r>
      <w:r>
        <w:t xml:space="preserve"> </w:t>
      </w:r>
      <w:r>
        <w:t xml:space="preserve">reports the latter.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Rise of contract complexity.</w:t>
      </w:r>
      <w:r>
        <w:t xml:space="preserve"> </w:t>
      </w:r>
      <w:r>
        <w:t xml:space="preserve">The ratio of value-transferring internal</w:t>
      </w:r>
      <w:r>
        <w:t xml:space="preserve"> </w:t>
      </w:r>
      <w:r>
        <w:t xml:space="preserve">transactions to external transactions is flat at 0.20 in both 2016 and 2020 but</w:t>
      </w:r>
      <w:r>
        <w:t xml:space="preserve"> </w:t>
      </w:r>
      <w:r>
        <w:t xml:space="preserve">jumps to ~0.57 in 2023 and 2024: modern external transactions each trigger far</w:t>
      </w:r>
      <w:r>
        <w:t xml:space="preserve"> </w:t>
      </w:r>
      <w:r>
        <w:t xml:space="preserve">more value-bearing internal transfers, reflecting the shift from simple transfers</w:t>
      </w:r>
      <w:r>
        <w:t xml:space="preserve"> </w:t>
      </w:r>
      <w:r>
        <w:t xml:space="preserve">and first-generation DeFi toward more deeply composed smart-contract interactions</w:t>
      </w:r>
      <w:r>
        <w:t xml:space="preserve"> </w:t>
      </w:r>
      <w:r>
        <w:t xml:space="preserve">(staking, MEV, multi-hop routing). Because the measured ratio counts only</w:t>
      </w:r>
      <w:r>
        <w:t xml:space="preserve"> </w:t>
      </w:r>
      <w:r>
        <w:t xml:space="preserve">value-transferring calls (§4.1), it is a conservative lower bound on the true</w:t>
      </w:r>
      <w:r>
        <w:t xml:space="preserve"> </w:t>
      </w:r>
      <w:r>
        <w:t xml:space="preserve">growth in internal-call complexity — zero-value message calls, common in routers</w:t>
      </w:r>
      <w:r>
        <w:t xml:space="preserve"> </w:t>
      </w:r>
      <w:r>
        <w:t xml:space="preserve">and aggregators, are excluded. The contract share of accounts stays in a narrow</w:t>
      </w:r>
      <w:r>
        <w:t xml:space="preserve"> </w:t>
      </w:r>
      <w:r>
        <w:t xml:space="preserve">5–7% band, so the growth is in</w:t>
      </w:r>
      <w:r>
        <w:t xml:space="preserve"> </w:t>
      </w:r>
      <w:r>
        <w:rPr>
          <w:i/>
          <w:iCs/>
        </w:rPr>
        <w:t xml:space="preserve">activity per contract</w:t>
      </w:r>
      <w:r>
        <w:t xml:space="preserve">, not in the proportion of</w:t>
      </w:r>
      <w:r>
        <w:t xml:space="preserve"> </w:t>
      </w:r>
      <w:r>
        <w:t xml:space="preserve">contracts.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Emergence of Wrapped Ether.</w:t>
      </w:r>
      <w:r>
        <w:t xml:space="preserve"> </w:t>
      </w:r>
      <w:r>
        <w:t xml:space="preserve">WETH is entirely absent from the 2016 window</w:t>
      </w:r>
      <w:r>
        <w:t xml:space="preserve"> </w:t>
      </w:r>
      <w:r>
        <w:t xml:space="preserve">(deployed December 2017). By 2020 it is the second most-received account, behind</w:t>
      </w:r>
      <w:r>
        <w:t xml:space="preserve"> </w:t>
      </w:r>
      <w:r>
        <w:t xml:space="preserve">the Uniswap V2 Router (0x7a250d…488d), the defining contract of DeFi Summer; it</w:t>
      </w:r>
      <w:r>
        <w:t xml:space="preserve"> </w:t>
      </w:r>
      <w:r>
        <w:t xml:space="preserve">remains second in 2023 and becomes the single most-received account in 2024. The</w:t>
      </w:r>
      <w:r>
        <w:t xml:space="preserve"> </w:t>
      </w:r>
      <w:r>
        <w:t xml:space="preserve">“key intermediary”</w:t>
      </w:r>
      <w:r>
        <w:t xml:space="preserve"> </w:t>
      </w:r>
      <w:r>
        <w:t xml:space="preserve">the single-era analysis highlights is thus not a fixed feature</w:t>
      </w:r>
      <w:r>
        <w:t xml:space="preserve"> </w:t>
      </w:r>
      <w:r>
        <w:t xml:space="preserve">of the network but one that emerged and rose to dominance. Era-specific</w:t>
      </w:r>
      <w:r>
        <w:t xml:space="preserve"> </w:t>
      </w:r>
      <w:r>
        <w:t xml:space="preserve">intermediaries are also visible — e.g. the Beacon-chain deposit contract</w:t>
      </w:r>
      <w:r>
        <w:t xml:space="preserve"> </w:t>
      </w:r>
      <w:r>
        <w:t xml:space="preserve">(0x0000000021…705fa) is the second most-received account in 2024, reflecting</w:t>
      </w:r>
      <w:r>
        <w:t xml:space="preserve"> </w:t>
      </w:r>
      <w:r>
        <w:t xml:space="preserve">post-Merge staking flows.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e 7. Top-ten accounts by transaction-participation percentage, compared across the four eras (10,000-block windows). The concentration profile differs by era — the post-Merge 2023 window is notably flatter (more distributed) than 2016, 2020, and 2024." title="" id="33" name="Picture"/>
            <a:graphic>
              <a:graphicData uri="http://schemas.openxmlformats.org/drawingml/2006/picture">
                <pic:pic>
                  <pic:nvPicPr>
                    <pic:cNvPr descr="figures/fig7_crossera_particip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Top-ten accounts by transaction-participation percentage, compared across the four eras (10,000-block windows). The concentration profile differs by era — the post-Merge 2023 window is notably flatter (more distributed) than 2016, 2020, and 2024.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e 8. Top-ten accounts by total ETH received, compared across the four eras (10,000-block windows). The dominant recipient shifts across eras: an early contract in 2016, the Uniswap V2 Router in 2020, and Wrapped Ether in 2024." title="" id="36" name="Picture"/>
            <a:graphic>
              <a:graphicData uri="http://schemas.openxmlformats.org/drawingml/2006/picture">
                <pic:pic>
                  <pic:nvPicPr>
                    <pic:cNvPr descr="figures/fig8_crossera_receiv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Top-ten accounts by total ETH received, compared across the four eras (10,000-block windows). The dominant recipient shifts across eras: an early contract in 2016, the Uniswap V2 Router in 2020, and Wrapped Ether in 2024.</w:t>
      </w:r>
    </w:p>
    <w:p>
      <w:pPr>
        <w:pStyle w:val="BodyText"/>
      </w:pPr>
      <w:r>
        <w:t xml:space="preserve">Cross-era comparison charts and pivot tables for every query and cut-off are in</w:t>
      </w:r>
      <w:r>
        <w:t xml:space="preserve"> </w:t>
      </w:r>
      <w:r>
        <w:rPr>
          <w:rStyle w:val="VerbatimChar"/>
        </w:rPr>
        <w:t xml:space="preserve">data/output/cross_era_&lt;n&gt;/</w:t>
      </w:r>
      <w:r>
        <w:t xml:space="preserve">; within-era ladders are in</w:t>
      </w:r>
      <w:r>
        <w:t xml:space="preserve"> </w:t>
      </w:r>
      <w:r>
        <w:rPr>
          <w:rStyle w:val="VerbatimChar"/>
        </w:rPr>
        <w:t xml:space="preserve">data/output/&lt;era&gt;/</w:t>
      </w:r>
      <w:r>
        <w:t xml:space="preserve">. The main result tables are collected in Appendix A.</w:t>
      </w:r>
    </w:p>
    <w:bookmarkEnd w:id="38"/>
    <w:bookmarkStart w:id="39" w:name="Xad531036f6f55fe8e17c4d23717ff4bbe8d9f9d"/>
    <w:p>
      <w:pPr>
        <w:pStyle w:val="Heading3"/>
      </w:pPr>
      <w:r>
        <w:t xml:space="preserve">4.5 Relationships between accounts and statistics</w:t>
      </w:r>
    </w:p>
    <w:p>
      <w:pPr>
        <w:pStyle w:val="FirstParagraph"/>
      </w:pPr>
      <w:r>
        <w:t xml:space="preserve">The sender–receiver pair queries (Query 4.3) and the transaction-statistics queries</w:t>
      </w:r>
      <w:r>
        <w:t xml:space="preserve"> </w:t>
      </w:r>
      <w:r>
        <w:t xml:space="preserve">(Query 4.4) were executed for all eras and cut-offs. The persistent presence of</w:t>
      </w:r>
      <w:r>
        <w:t xml:space="preserve"> </w:t>
      </w:r>
      <w:r>
        <w:t xml:space="preserve">specific sender–receiver pairs across window sizes indicates stable behavioural</w:t>
      </w:r>
      <w:r>
        <w:t xml:space="preserve"> </w:t>
      </w:r>
      <w:r>
        <w:t xml:space="preserve">patterns and identifies high-traffic corridors and key</w:t>
      </w:r>
      <w:r>
        <w:t xml:space="preserve"> </w:t>
      </w:r>
      <w:r>
        <w:t xml:space="preserve">intermediaries; the cross-era view shows these corridors themselves shift with the</w:t>
      </w:r>
      <w:r>
        <w:t xml:space="preserve"> </w:t>
      </w:r>
      <w:r>
        <w:t xml:space="preserve">dominant applications of each period (e.g. Uniswap routing in 2020, staking flows in</w:t>
      </w:r>
      <w:r>
        <w:t xml:space="preserve"> </w:t>
      </w:r>
      <w:r>
        <w:t xml:space="preserve">2024). Detailed tables are provided under</w:t>
      </w:r>
      <w:r>
        <w:t xml:space="preserve"> </w:t>
      </w:r>
      <w:r>
        <w:rPr>
          <w:rStyle w:val="VerbatimChar"/>
        </w:rPr>
        <w:t xml:space="preserve">data/output/</w:t>
      </w:r>
      <w:r>
        <w:t xml:space="preserve">.</w:t>
      </w:r>
    </w:p>
    <w:bookmarkEnd w:id="39"/>
    <w:bookmarkStart w:id="40" w:name="query-scalability-note"/>
    <w:p>
      <w:pPr>
        <w:pStyle w:val="Heading3"/>
      </w:pPr>
      <w:r>
        <w:t xml:space="preserve">4.6 Query scalability note</w:t>
      </w:r>
    </w:p>
    <w:p>
      <w:pPr>
        <w:pStyle w:val="FirstParagraph"/>
      </w:pPr>
      <w:r>
        <w:t xml:space="preserve">The total-participation query (4.2.3), as originally written, performs two</w:t>
      </w:r>
      <w:r>
        <w:t xml:space="preserve"> </w:t>
      </w:r>
      <w:r>
        <w:rPr>
          <w:rStyle w:val="VerbatimChar"/>
        </w:rPr>
        <w:t xml:space="preserve">OPTIONAL MATCH</w:t>
      </w:r>
      <w:r>
        <w:t xml:space="preserve"> </w:t>
      </w:r>
      <w:r>
        <w:t xml:space="preserve">traversals over an account’s sent and received edges before</w:t>
      </w:r>
      <w:r>
        <w:t xml:space="preserve"> </w:t>
      </w:r>
      <w:r>
        <w:t xml:space="preserve">aggregating, materializing the cross-product of the two edge sets per account. For</w:t>
      </w:r>
      <w:r>
        <w:t xml:space="preserve"> </w:t>
      </w:r>
      <w:r>
        <w:t xml:space="preserve">hub accounts this is prohibitive (WETH has ≈128k sent and ≈159k received edges at</w:t>
      </w:r>
      <w:r>
        <w:t xml:space="preserve"> </w:t>
      </w:r>
      <w:r>
        <w:t xml:space="preserve">10,000 blocks, i.e. ~2×10^10 intermediate rows) and the query does not complete.</w:t>
      </w:r>
      <w:r>
        <w:t xml:space="preserve"> </w:t>
      </w:r>
      <w:r>
        <w:t xml:space="preserve">Rewriting it to aggregate the two traversals in separate stages — the</w:t>
      </w:r>
      <w:r>
        <w:t xml:space="preserve"> </w:t>
      </w:r>
      <w:r>
        <w:t xml:space="preserve">single-traversal reformulation — returns identical results in about two seconds. This is the only query requiring</w:t>
      </w:r>
      <w:r>
        <w:t xml:space="preserve"> </w:t>
      </w:r>
      <w:r>
        <w:t xml:space="preserve">reformulation to reach 10,000 blocks; the remaining queries scale directly.</w:t>
      </w:r>
    </w:p>
    <w:bookmarkEnd w:id="40"/>
    <w:bookmarkEnd w:id="41"/>
    <w:bookmarkStart w:id="46" w:name="X6e20e48d8080825a996d4b347f2557e462ff813"/>
    <w:p>
      <w:pPr>
        <w:pStyle w:val="Heading2"/>
      </w:pPr>
      <w:r>
        <w:t xml:space="preserve">5. Discussion: capabilities, strengths, and limitations</w:t>
      </w:r>
    </w:p>
    <w:p>
      <w:pPr>
        <w:pStyle w:val="FirstParagraph"/>
      </w:pPr>
      <w:r>
        <w:t xml:space="preserve">The scaled and cross-era experiments allow a more critical assessment of what the</w:t>
      </w:r>
      <w:r>
        <w:t xml:space="preserve"> </w:t>
      </w:r>
      <w:r>
        <w:t xml:space="preserve">proposed model enables — and where it does not — more clearly than a single-era,</w:t>
      </w:r>
      <w:r>
        <w:t xml:space="preserve"> </w:t>
      </w:r>
      <w:r>
        <w:t xml:space="preserve">small-scale analysis could.</w:t>
      </w:r>
    </w:p>
    <w:bookmarkStart w:id="42" w:name="analytical-capabilities-demonstrated"/>
    <w:p>
      <w:pPr>
        <w:pStyle w:val="Heading3"/>
      </w:pPr>
      <w:r>
        <w:t xml:space="preserve">5.1 Analytical capabilities demonstrated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3054"/>
        <w:gridCol w:w="35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How the model supports it</w:t>
            </w:r>
          </w:p>
        </w:tc>
        <w:tc>
          <w:tcPr/>
          <w:p>
            <w:pPr>
              <w:pStyle w:val="Compact"/>
            </w:pPr>
            <w:r>
              <w:t xml:space="preserve">Evidence from the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the most active accounts (by value and by participation)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SENT_BY</w:t>
            </w:r>
            <w:r>
              <w:t xml:space="preserve">/</w:t>
            </w:r>
            <w:r>
              <w:rPr>
                <w:rStyle w:val="VerbatimChar"/>
              </w:rPr>
              <w:t xml:space="preserve">RECEIVED_BY</w:t>
            </w:r>
            <w:r>
              <w:t xml:space="preserve"> </w:t>
            </w:r>
            <w:r>
              <w:t xml:space="preserve">aggregation over transaction nodes</w:t>
            </w:r>
          </w:p>
        </w:tc>
        <w:tc>
          <w:tcPr/>
          <w:p>
            <w:pPr>
              <w:pStyle w:val="Compact"/>
            </w:pPr>
            <w:r>
              <w:t xml:space="preserve">WETH, USDT and a small set of aggregators identified as stable leaders (§4.3)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recurrent sender–receiver corridors</w:t>
            </w:r>
          </w:p>
        </w:tc>
        <w:tc>
          <w:tcPr/>
          <w:p>
            <w:pPr>
              <w:pStyle w:val="Compact"/>
            </w:pPr>
            <w:r>
              <w:t xml:space="preserve">pair pattern</w:t>
            </w:r>
            <w:r>
              <w:t xml:space="preserve"> </w:t>
            </w:r>
            <w:r>
              <w:rPr>
                <w:rStyle w:val="VerbatimChar"/>
              </w:rPr>
              <w:t xml:space="preserve">(:User)-[:SENT_BY]-&gt;(tx)&lt;-[:RECEIVED_BY]-(:User)</w:t>
            </w:r>
          </w:p>
        </w:tc>
        <w:tc>
          <w:tcPr/>
          <w:p>
            <w:pPr>
              <w:pStyle w:val="Compact"/>
            </w:pPr>
            <w:r>
              <w:t xml:space="preserve">Uniswap-router-centred corridors in 2020, staking flows in 2024 (§4.4–4.5)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user↔contract from user↔user 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isContract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+ pair queries</w:t>
            </w:r>
          </w:p>
        </w:tc>
        <w:tc>
          <w:tcPr/>
          <w:p>
            <w:pPr>
              <w:pStyle w:val="Compact"/>
            </w:pPr>
            <w:r>
              <w:t xml:space="preserve">~5–7% of accounts (contracts) mediate most activity across all eras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Decompose external into internal transactions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  <w:r>
              <w:t xml:space="preserve"> </w:t>
            </w:r>
            <w:r>
              <w:rPr>
                <w:rStyle w:val="VerbatimChar"/>
              </w:rPr>
              <w:t xml:space="preserve">ExternalTransaction</w:t>
            </w:r>
            <w:r>
              <w:t xml:space="preserve">/</w:t>
            </w:r>
            <w:r>
              <w:rPr>
                <w:rStyle w:val="VerbatimChar"/>
              </w:rPr>
              <w:t xml:space="preserve">InternalTransaction</w:t>
            </w:r>
            <w:r>
              <w:t xml:space="preserve"> </w:t>
            </w:r>
            <w:r>
              <w:t xml:space="preserve">labels +</w:t>
            </w:r>
            <w:r>
              <w:t xml:space="preserve"> </w:t>
            </w:r>
            <w:r>
              <w:rPr>
                <w:rStyle w:val="VerbatimChar"/>
              </w:rPr>
              <w:t xml:space="preserve">HAS_INTERNAL_TRANSACTION</w:t>
            </w:r>
          </w:p>
        </w:tc>
        <w:tc>
          <w:tcPr/>
          <w:p>
            <w:pPr>
              <w:pStyle w:val="Compact"/>
            </w:pPr>
            <w:r>
              <w:t xml:space="preserve">value-transferring internal/external ratio 0.20→0.57 across eras — invisible to external-only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Windowed (</w:t>
            </w:r>
            <w:r>
              <w:t xml:space="preserve">“trajectory”</w:t>
            </w:r>
            <w:r>
              <w:t xml:space="preserve">) analysis</w:t>
            </w:r>
          </w:p>
        </w:tc>
        <w:tc>
          <w:tcPr/>
          <w:p>
            <w:pPr>
              <w:pStyle w:val="Compact"/>
            </w:pPr>
            <w:r>
              <w:t xml:space="preserve">cumulative block ranges over the block backbone</w:t>
            </w:r>
          </w:p>
        </w:tc>
        <w:tc>
          <w:tcPr/>
          <w:p>
            <w:pPr>
              <w:pStyle w:val="Compact"/>
            </w:pPr>
            <w:r>
              <w:t xml:space="preserve">stabilization curves 2→10,000 blocks (§4.3)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across time with no new queries</w:t>
            </w:r>
          </w:p>
        </w:tc>
        <w:tc>
          <w:tcPr/>
          <w:p>
            <w:pPr>
              <w:pStyle w:val="Compact"/>
            </w:pPr>
            <w:r>
              <w:t xml:space="preserve">era-agnostic schema; identical 14 queries</w:t>
            </w:r>
          </w:p>
        </w:tc>
        <w:tc>
          <w:tcPr/>
          <w:p>
            <w:pPr>
              <w:pStyle w:val="Compact"/>
            </w:pPr>
            <w:r>
              <w:t xml:space="preserve">WETH’s emergence and the complexity jump (§4.4)</w:t>
            </w:r>
          </w:p>
        </w:tc>
      </w:tr>
    </w:tbl>
    <w:bookmarkEnd w:id="42"/>
    <w:bookmarkStart w:id="43" w:name="strengths-where-the-model-is-useful"/>
    <w:p>
      <w:pPr>
        <w:pStyle w:val="Heading3"/>
      </w:pPr>
      <w:r>
        <w:t xml:space="preserve">5.2 Strengths (where the model is useful)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Locality and expressiveness.</w:t>
      </w:r>
      <w:r>
        <w:t xml:space="preserve"> </w:t>
      </w:r>
      <w:r>
        <w:t xml:space="preserve">Neighborhood, pair, and participation queries map</w:t>
      </w:r>
      <w:r>
        <w:t xml:space="preserve"> </w:t>
      </w:r>
      <w:r>
        <w:t xml:space="preserve">directly to graph traversals and run in seconds even on the 10,000-block 2024</w:t>
      </w:r>
      <w:r>
        <w:t xml:space="preserve"> </w:t>
      </w:r>
      <w:r>
        <w:t xml:space="preserve">graph (~2.9M nodes, ~5.8M relationships). The questions the model answers best are</w:t>
      </w:r>
      <w:r>
        <w:t xml:space="preserve"> </w:t>
      </w:r>
      <w:r>
        <w:t xml:space="preserve">exactly the relational ones that are awkward in a relational schema.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Portability across time.</w:t>
      </w:r>
      <w:r>
        <w:t xml:space="preserve"> </w:t>
      </w:r>
      <w:r>
        <w:t xml:space="preserve">The same schema and the same fourteen queries ran</w:t>
      </w:r>
      <w:r>
        <w:t xml:space="preserve"> </w:t>
      </w:r>
      <w:r>
        <w:t xml:space="preserve">unchanged over windows spanning 2016 to 2024; the cross-era study required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new queries. This makes the model well suited to longitudinal, comparative</w:t>
      </w:r>
      <w:r>
        <w:t xml:space="preserve"> </w:t>
      </w:r>
      <w:r>
        <w:t xml:space="preserve">blockchain studies, not just single-snapshot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internal-transaction modeling earns its place.</w:t>
      </w:r>
      <w:r>
        <w:t xml:space="preserve"> </w:t>
      </w:r>
      <w:r>
        <w:t xml:space="preserve">The external/internal</w:t>
      </w:r>
      <w:r>
        <w:t xml:space="preserve"> </w:t>
      </w:r>
      <w:r>
        <w:t xml:space="preserve">distinction — rarely modeled explicitly in related work — is what surfaced the</w:t>
      </w:r>
      <w:r>
        <w:t xml:space="preserve"> </w:t>
      </w:r>
      <w:r>
        <w:t xml:space="preserve">post-Merge tripling of contract-mediated activity (Figure 6, right). This is the</w:t>
      </w:r>
      <w:r>
        <w:t xml:space="preserve"> </w:t>
      </w:r>
      <w:r>
        <w:t xml:space="preserve">clearest example of a finding the model enables that a transactions-as-edges graph</w:t>
      </w:r>
      <w:r>
        <w:t xml:space="preserve"> </w:t>
      </w:r>
      <w:r>
        <w:t xml:space="preserve">could not express.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samples are representative — for structure.</w:t>
      </w:r>
      <w:r>
        <w:t xml:space="preserve"> </w:t>
      </w:r>
      <w:r>
        <w:t xml:space="preserve">The ranking of dominant</w:t>
      </w:r>
      <w:r>
        <w:t xml:space="preserve"> </w:t>
      </w:r>
      <w:r>
        <w:t xml:space="preserve">intermediaries is already stable by ~100–1,000 blocks; the 10,000-block runs</w:t>
      </w:r>
      <w:r>
        <w:t xml:space="preserve"> </w:t>
      </w:r>
      <w:r>
        <w:t xml:space="preserve">confirmed rather than overturned it. This shows that representative behavior can</w:t>
      </w:r>
      <w:r>
        <w:t xml:space="preserve"> </w:t>
      </w:r>
      <w:r>
        <w:t xml:space="preserve">be extracted from modest samples. Larger windows refine the</w:t>
      </w:r>
      <w:r>
        <w:t xml:space="preserve"> </w:t>
      </w:r>
      <w:r>
        <w:rPr>
          <w:i/>
          <w:iCs/>
        </w:rPr>
        <w:t xml:space="preserve">magnitudes</w:t>
      </w:r>
      <w:r>
        <w:t xml:space="preserve"> </w:t>
      </w:r>
      <w:r>
        <w:t xml:space="preserve">of</w:t>
      </w:r>
      <w:r>
        <w:t xml:space="preserve"> </w:t>
      </w:r>
      <w:r>
        <w:t xml:space="preserve">value-based metrics (e.g. maximum transfers), while the participation-share</w:t>
      </w:r>
      <w:r>
        <w:t xml:space="preserve"> </w:t>
      </w:r>
      <w:r>
        <w:t xml:space="preserve">concentration itself stays flat across scales (§4.3).</w:t>
      </w:r>
    </w:p>
    <w:bookmarkEnd w:id="43"/>
    <w:bookmarkStart w:id="44" w:name="limitations-where-it-struggles"/>
    <w:p>
      <w:pPr>
        <w:pStyle w:val="Heading3"/>
      </w:pPr>
      <w:r>
        <w:t xml:space="preserve">5.3 Limitations (where it struggles)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Uneven query scalability.</w:t>
      </w:r>
      <w:r>
        <w:t xml:space="preserve"> </w:t>
      </w:r>
      <w:r>
        <w:t xml:space="preserve">Global aggregations that fan out over high-degree</w:t>
      </w:r>
      <w:r>
        <w:t xml:space="preserve"> </w:t>
      </w:r>
      <w:r>
        <w:t xml:space="preserve">hubs can blow up: the total-participation query built a cartesian product on</w:t>
      </w:r>
      <w:r>
        <w:t xml:space="preserve"> </w:t>
      </w:r>
      <w:r>
        <w:t xml:space="preserve">WETH’s ~287k edges and did not complete at 10,000 blocks until reformulated</w:t>
      </w:r>
      <w:r>
        <w:t xml:space="preserve"> </w:t>
      </w:r>
      <w:r>
        <w:t xml:space="preserve">(78 min → 2 s, §4.6). The model is fast for local and pair queries but naive</w:t>
      </w:r>
      <w:r>
        <w:t xml:space="preserve"> </w:t>
      </w:r>
      <w:r>
        <w:t xml:space="preserve">global queries need careful, sometimes non-obvious, formulation — a genuine cost</w:t>
      </w:r>
      <w:r>
        <w:t xml:space="preserve"> </w:t>
      </w:r>
      <w:r>
        <w:t xml:space="preserve">of the approach, not merely an implementation detail.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cost at scale.</w:t>
      </w:r>
      <w:r>
        <w:t xml:space="preserve"> </w:t>
      </w:r>
      <w:r>
        <w:t xml:space="preserve">Bulk loading and, especially, bulk deletion require</w:t>
      </w:r>
      <w:r>
        <w:t xml:space="preserve"> </w:t>
      </w:r>
      <w:r>
        <w:t xml:space="preserve">capacity planning: a single-transaction wipe of the 2.9M-node graph exhausted the</w:t>
      </w:r>
      <w:r>
        <w:t xml:space="preserve"> </w:t>
      </w:r>
      <w:r>
        <w:t xml:space="preserve">heap and had to be batched. Beyond ~10^7 elements the GDB stops being</w:t>
      </w:r>
      <w:r>
        <w:t xml:space="preserve"> </w:t>
      </w:r>
      <w:r>
        <w:t xml:space="preserve">“just fast.”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temporal backbone is under-exploited.</w:t>
      </w:r>
      <w:r>
        <w:t xml:space="preserve"> </w:t>
      </w:r>
      <w:r>
        <w:rPr>
          <w:rStyle w:val="VerbatimChar"/>
        </w:rPr>
        <w:t xml:space="preserve">PREVIOUS_BLOCK</w:t>
      </w:r>
      <w:r>
        <w:t xml:space="preserve"> </w:t>
      </w:r>
      <w:r>
        <w:t xml:space="preserve">is loaded and gives</w:t>
      </w:r>
      <w:r>
        <w:t xml:space="preserve"> </w:t>
      </w:r>
      <w:r>
        <w:t xml:space="preserve">the model its trajectory framing, yet almost none of the analytical queries</w:t>
      </w:r>
      <w:r>
        <w:t xml:space="preserve"> </w:t>
      </w:r>
      <w:r>
        <w:t xml:space="preserve">actually traverse the block chain; the trajectory is currently more organizational</w:t>
      </w:r>
      <w:r>
        <w:t xml:space="preserve"> </w:t>
      </w:r>
      <w:r>
        <w:t xml:space="preserve">than query-driving. Making the backbone earn its place (e.g. inter-block flow or</w:t>
      </w:r>
      <w:r>
        <w:t xml:space="preserve"> </w:t>
      </w:r>
      <w:r>
        <w:t xml:space="preserve">persistence queries) is an open opportunity.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Block count is not volume-comparable across eras.</w:t>
      </w:r>
      <w:r>
        <w:t xml:space="preserve"> </w:t>
      </w:r>
      <w:r>
        <w:t xml:space="preserve">A fixed 10,000-block window</w:t>
      </w:r>
      <w:r>
        <w:t xml:space="preserve"> </w:t>
      </w:r>
      <w:r>
        <w:t xml:space="preserve">is ~81k transactions in 2016 but ~1.9M in 2020 (Figure 6, left). Cross-era claims</w:t>
      </w:r>
      <w:r>
        <w:t xml:space="preserve"> </w:t>
      </w:r>
      <w:r>
        <w:t xml:space="preserve">must therefore always report volume alongside block count; the block-trajectory</w:t>
      </w:r>
      <w:r>
        <w:t xml:space="preserve"> </w:t>
      </w:r>
      <w:r>
        <w:t xml:space="preserve">abstraction, while clean, hides this by design.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block-time economic state.</w:t>
      </w:r>
      <w:r>
        <w:t xml:space="preserve"> </w:t>
      </w:r>
      <w:r>
        <w:t xml:space="preserve">Dropping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simplified ingestion at no</w:t>
      </w:r>
      <w:r>
        <w:t xml:space="preserve"> </w:t>
      </w:r>
      <w:r>
        <w:t xml:space="preserve">cost to the present queries, but the model consequently cannot answer</w:t>
      </w:r>
      <w:r>
        <w:t xml:space="preserve"> </w:t>
      </w:r>
      <w:r>
        <w:t xml:space="preserve">wealth/holdings questions without adding block-time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Each era is a single ~2-day window (n = 1).</w:t>
      </w:r>
      <w:r>
        <w:t xml:space="preserve"> </w:t>
      </w:r>
      <w:r>
        <w:t xml:space="preserve">Every era is one contiguous</w:t>
      </w:r>
      <w:r>
        <w:t xml:space="preserve"> </w:t>
      </w:r>
      <w:r>
        <w:t xml:space="preserve">10,000-block window (~1.4–1.9 days at 12–14 s/block). The cross-era</w:t>
      </w:r>
      <w:r>
        <w:t xml:space="preserve"> </w:t>
      </w:r>
      <w:r>
        <w:t xml:space="preserve">“evolution”</w:t>
      </w:r>
      <w:r>
        <w:t xml:space="preserve"> </w:t>
      </w:r>
      <w:r>
        <w:t xml:space="preserve">findings (densification, the internal/external ratio jump, WETH’s rise, the</w:t>
      </w:r>
      <w:r>
        <w:t xml:space="preserve"> </w:t>
      </w:r>
      <w:r>
        <w:t xml:space="preserve">Figure 7 profiles) are therefore single-window snapshots, not statistically</w:t>
      </w:r>
      <w:r>
        <w:t xml:space="preserve"> </w:t>
      </w:r>
      <w:r>
        <w:t xml:space="preserve">estimated era means: a day-specific event (a large airdrop, NFT mint, exploit, or</w:t>
      </w:r>
      <w:r>
        <w:t xml:space="preserve"> </w:t>
      </w:r>
      <w:r>
        <w:t xml:space="preserve">MEV episode) could move a window’s ratios or top recipients, and three of the four</w:t>
      </w:r>
      <w:r>
        <w:t xml:space="preserve"> </w:t>
      </w:r>
      <w:r>
        <w:t xml:space="preserve">windows fall in August. The cross-era differences should be read as indicative of</w:t>
      </w:r>
      <w:r>
        <w:t xml:space="preserve"> </w:t>
      </w:r>
      <w:r>
        <w:t xml:space="preserve">era character; attaching confidence would require several windows per era. (The</w:t>
      </w:r>
      <w:r>
        <w:t xml:space="preserve"> </w:t>
      </w:r>
      <w:r>
        <w:t xml:space="preserve">within-era ladder, by contrast, does vary the sample — across block-count — and</w:t>
      </w:r>
      <w:r>
        <w:t xml:space="preserve"> </w:t>
      </w:r>
      <w:r>
        <w:t xml:space="preserve">shows stability there.)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 classification is a slight undercount.</w:t>
      </w:r>
      <w:r>
        <w:t xml:space="preserve"> </w:t>
      </w:r>
      <w:r>
        <w:t xml:space="preserve">An account is labeled a</w:t>
      </w:r>
      <w:r>
        <w:t xml:space="preserve"> </w:t>
      </w:r>
      <w:r>
        <w:t xml:space="preserve">contract only if it appears in BigQuery’s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 </w:t>
      </w:r>
      <w:r>
        <w:t xml:space="preserve">table with a deployment</w:t>
      </w:r>
      <w:r>
        <w:t xml:space="preserve"> </w:t>
      </w:r>
      <w:r>
        <w:t xml:space="preserve">block within the window; contracts created in-window but not otherwise referenced,</w:t>
      </w:r>
      <w:r>
        <w:t xml:space="preserve"> </w:t>
      </w:r>
      <w:r>
        <w:t xml:space="preserve">precompiles, and L2 alias/system addresses are therefore counted as EOAs. This</w:t>
      </w:r>
      <w:r>
        <w:t xml:space="preserve"> </w:t>
      </w:r>
      <w:r>
        <w:t xml:space="preserve">makes the reported contract share (5–7%) a mild lower bound; it does not affect the</w:t>
      </w:r>
      <w:r>
        <w:t xml:space="preserve"> </w:t>
      </w:r>
      <w:r>
        <w:t xml:space="preserve">value/participation rankings.</w:t>
      </w:r>
    </w:p>
    <w:bookmarkEnd w:id="44"/>
    <w:bookmarkStart w:id="45" w:name="were-the-two-new-axes-worth-it"/>
    <w:p>
      <w:pPr>
        <w:pStyle w:val="Heading3"/>
      </w:pPr>
      <w:r>
        <w:t xml:space="preserve">5.4 Were the two new axes worth it?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Scaling to 10,000 blocks — worth it, with diminishing returns for ranking.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identifying</w:t>
      </w:r>
      <w:r>
        <w:t xml:space="preserve"> </w:t>
      </w:r>
      <w:r>
        <w:t xml:space="preserve">the key players, returns diminish beyond a few hundred blocks;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distributional/magnitude</w:t>
      </w:r>
      <w:r>
        <w:t xml:space="preserve"> </w:t>
      </w:r>
      <w:r>
        <w:t xml:space="preserve">claims and for</w:t>
      </w:r>
      <w:r>
        <w:t xml:space="preserve"> </w:t>
      </w:r>
      <w:r>
        <w:rPr>
          <w:i/>
          <w:iCs/>
        </w:rPr>
        <w:t xml:space="preserve">stress-testing</w:t>
      </w:r>
      <w:r>
        <w:t xml:space="preserve"> </w:t>
      </w:r>
      <w:r>
        <w:t xml:space="preserve">the model, returns</w:t>
      </w:r>
      <w:r>
        <w:t xml:space="preserve"> </w:t>
      </w:r>
      <w:r>
        <w:t xml:space="preserve">increase — the scale is precisely what exposed the query-scalability limitation</w:t>
      </w:r>
      <w:r>
        <w:t xml:space="preserve"> </w:t>
      </w:r>
      <w:r>
        <w:t xml:space="preserve">(§4.6) and confirmed that the concentration of key intermediaries is stable across</w:t>
      </w:r>
      <w:r>
        <w:t xml:space="preserve"> </w:t>
      </w:r>
      <w:r>
        <w:t xml:space="preserve">nearly four orders of magnitude of window size, rather than a small-sample artifact. The</w:t>
      </w:r>
      <w:r>
        <w:t xml:space="preserve"> </w:t>
      </w:r>
      <w:r>
        <w:t xml:space="preserve">value is credibility and the surfacing of a real limitation, more than new rankings.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Cross-era comparison — the most valuable addition.</w:t>
      </w:r>
      <w:r>
        <w:t xml:space="preserve"> </w:t>
      </w:r>
      <w:r>
        <w:t xml:space="preserve">It converted static</w:t>
      </w:r>
      <w:r>
        <w:t xml:space="preserve"> </w:t>
      </w:r>
      <w:r>
        <w:t xml:space="preserve">single-era observations (</w:t>
      </w:r>
      <w:r>
        <w:t xml:space="preserve">“WETH is a key intermediary”</w:t>
      </w:r>
      <w:r>
        <w:t xml:space="preserve">) into evolutionary findings</w:t>
      </w:r>
      <w:r>
        <w:t xml:space="preserve"> </w:t>
      </w:r>
      <w:r>
        <w:t xml:space="preserve">(</w:t>
      </w:r>
      <w:r>
        <w:t xml:space="preserve">“WETH emerged from non-existence in 2016 to dominance in 2024; contract</w:t>
      </w:r>
      <w:r>
        <w:t xml:space="preserve"> </w:t>
      </w:r>
      <w:r>
        <w:t xml:space="preserve">complexity tripled after the Merge; the network densified ~20×”</w:t>
      </w:r>
      <w:r>
        <w:t xml:space="preserve">), and it doubled as</w:t>
      </w:r>
      <w:r>
        <w:t xml:space="preserve"> </w:t>
      </w:r>
      <w:r>
        <w:t xml:space="preserve">a portability test of the model. Its costs — 4× the data/compute and the</w:t>
      </w:r>
      <w:r>
        <w:t xml:space="preserve"> </w:t>
      </w:r>
      <w:r>
        <w:t xml:space="preserve">block-count comparability caveat — are modest against that. If only one of the two</w:t>
      </w:r>
      <w:r>
        <w:t xml:space="preserve"> </w:t>
      </w:r>
      <w:r>
        <w:t xml:space="preserve">extensions were kept, the cross-era axis is the one that most enlarges what the</w:t>
      </w:r>
      <w:r>
        <w:t xml:space="preserve"> </w:t>
      </w:r>
      <w:r>
        <w:t xml:space="preserve">model can say.</w:t>
      </w:r>
    </w:p>
    <w:bookmarkEnd w:id="45"/>
    <w:bookmarkEnd w:id="46"/>
    <w:bookmarkStart w:id="47" w:name="conclusions-and-future-work"/>
    <w:p>
      <w:pPr>
        <w:pStyle w:val="Heading2"/>
      </w:pPr>
      <w:r>
        <w:t xml:space="preserve">6. Conclusions and future work</w:t>
      </w:r>
    </w:p>
    <w:p>
      <w:pPr>
        <w:pStyle w:val="FirstParagraph"/>
      </w:pPr>
      <w:r>
        <w:t xml:space="preserve">This work proposed a GDB model for representing Ethereum blockchain transactions,</w:t>
      </w:r>
      <w:r>
        <w:t xml:space="preserve"> </w:t>
      </w:r>
      <w:r>
        <w:t xml:space="preserve">distinguishing external and internal transactions and defining nodes for accounts,</w:t>
      </w:r>
      <w:r>
        <w:t xml:space="preserve"> </w:t>
      </w:r>
      <w:r>
        <w:t xml:space="preserve">blocks, and transactions together with their relationships. The model was</w:t>
      </w:r>
      <w:r>
        <w:t xml:space="preserve"> </w:t>
      </w:r>
      <w:r>
        <w:t xml:space="preserve">implemented with a BigQuery-based ingestion pipeline and batched loading, which</w:t>
      </w:r>
      <w:r>
        <w:t xml:space="preserve"> </w:t>
      </w:r>
      <w:r>
        <w:t xml:space="preserve">allowed the analysis to scale to 10,000 blocks and to be replicated across four eras</w:t>
      </w:r>
      <w:r>
        <w:t xml:space="preserve"> </w:t>
      </w:r>
      <w:r>
        <w:t xml:space="preserve">of Ethereum’s history.</w:t>
      </w:r>
    </w:p>
    <w:p>
      <w:pPr>
        <w:pStyle w:val="BodyText"/>
      </w:pPr>
      <w:r>
        <w:t xml:space="preserve">The results are consistent and clear. Within a single era,</w:t>
      </w:r>
      <w:r>
        <w:t xml:space="preserve"> </w:t>
      </w:r>
      <w:r>
        <w:t xml:space="preserve">behavioural patterns are stable as the analyzed window grows: the Wrapped Ether</w:t>
      </w:r>
      <w:r>
        <w:t xml:space="preserve"> </w:t>
      </w:r>
      <w:r>
        <w:t xml:space="preserve">contract’s share of transaction participations holds at ~6% between 2 and 10,000</w:t>
      </w:r>
      <w:r>
        <w:t xml:space="preserve"> </w:t>
      </w:r>
      <w:r>
        <w:t xml:space="preserve">blocks, and the same small set of intermediaries dominates at every scale. Across eras, the model reveals structural evolution that a single-era</w:t>
      </w:r>
      <w:r>
        <w:t xml:space="preserve"> </w:t>
      </w:r>
      <w:r>
        <w:t xml:space="preserve">study cannot: a roughly twentyfold densification in transactions per block from</w:t>
      </w:r>
      <w:r>
        <w:t xml:space="preserve"> </w:t>
      </w:r>
      <w:r>
        <w:t xml:space="preserve">2016 to the modern network, a near-tripling of the internal-to-external transaction</w:t>
      </w:r>
      <w:r>
        <w:t xml:space="preserve"> </w:t>
      </w:r>
      <w:r>
        <w:t xml:space="preserve">ratio after the Merge, and the emergence of Wrapped Ether from non-existence in 2016</w:t>
      </w:r>
      <w:r>
        <w:t xml:space="preserve"> </w:t>
      </w:r>
      <w:r>
        <w:t xml:space="preserve">to the dominant intermediary in 2024. These results demonstrate that graph databases</w:t>
      </w:r>
      <w:r>
        <w:t xml:space="preserve"> </w:t>
      </w:r>
      <w:r>
        <w:t xml:space="preserve">are suitable for blockchain transaction analysis at realistic scale, and that the</w:t>
      </w:r>
      <w:r>
        <w:t xml:space="preserve"> </w:t>
      </w:r>
      <w:r>
        <w:t xml:space="preserve">block-trajectory representation supports both within-era stabilization analysis and</w:t>
      </w:r>
      <w:r>
        <w:t xml:space="preserve"> </w:t>
      </w:r>
      <w:r>
        <w:t xml:space="preserve">cross-era comparison.</w:t>
      </w:r>
    </w:p>
    <w:p>
      <w:pPr>
        <w:pStyle w:val="BodyText"/>
      </w:pPr>
      <w:r>
        <w:t xml:space="preserve">Future work may (i) extend the model with additional block- and transaction-level</w:t>
      </w:r>
      <w:r>
        <w:t xml:space="preserve"> </w:t>
      </w:r>
      <w:r>
        <w:t xml:space="preserve">metadata (base fee, miner/validator, gas used, maximum fee); (ii) generalize the</w:t>
      </w:r>
      <w:r>
        <w:t xml:space="preserve"> </w:t>
      </w:r>
      <w:r>
        <w:t xml:space="preserve">schema to other blockchains to compare behavioural patterns across platforms; (iii)</w:t>
      </w:r>
      <w:r>
        <w:t xml:space="preserve"> </w:t>
      </w:r>
      <w:r>
        <w:t xml:space="preserve">integrate streaming and near-real-time ingestion for continuous analytics; (iv)</w:t>
      </w:r>
      <w:r>
        <w:t xml:space="preserve"> </w:t>
      </w:r>
      <w:r>
        <w:t xml:space="preserve">explore anomaly detection (e.g. wash trading), community discovery, and activity</w:t>
      </w:r>
      <w:r>
        <w:t xml:space="preserve"> </w:t>
      </w:r>
      <w:r>
        <w:t xml:space="preserve">prediction; and (v) define high-level operators to simplify the formulation of</w:t>
      </w:r>
      <w:r>
        <w:t xml:space="preserve"> </w:t>
      </w:r>
      <w:r>
        <w:t xml:space="preserve">blockchain analytical queries, since complex Cypher queries — as the</w:t>
      </w:r>
      <w:r>
        <w:t xml:space="preserve"> </w:t>
      </w:r>
      <w:r>
        <w:t xml:space="preserve">total-participation case in Section 4.6 shows — can be both hard to write and</w:t>
      </w:r>
      <w:r>
        <w:t xml:space="preserve"> </w:t>
      </w:r>
      <w:r>
        <w:t xml:space="preserve">sensitive to scale.</w:t>
      </w:r>
    </w:p>
    <w:bookmarkEnd w:id="47"/>
    <w:bookmarkStart w:id="49" w:name="code-and-data-availability"/>
    <w:p>
      <w:pPr>
        <w:pStyle w:val="Heading2"/>
      </w:pPr>
      <w:r>
        <w:t xml:space="preserve">Code and data availability</w:t>
      </w:r>
    </w:p>
    <w:p>
      <w:pPr>
        <w:pStyle w:val="FirstParagraph"/>
      </w:pPr>
      <w:r>
        <w:t xml:space="preserve">The complete implementation — the graph schema, the BigQuery ingestion pipeline,</w:t>
      </w:r>
      <w:r>
        <w:t xml:space="preserve"> </w:t>
      </w:r>
      <w:r>
        <w:t xml:space="preserve">the fourteen analytical queries, and the scripts that regenerate every figure and</w:t>
      </w:r>
      <w:r>
        <w:t xml:space="preserve"> </w:t>
      </w:r>
      <w:r>
        <w:t xml:space="preserve">table in this paper — is openly available at</w:t>
      </w:r>
      <w:r>
        <w:t xml:space="preserve"> </w:t>
      </w:r>
      <w:hyperlink r:id="rId48">
        <w:r>
          <w:rPr>
            <w:rStyle w:val="Hyperlink"/>
          </w:rPr>
          <w:t xml:space="preserve">https://github.com/jmejiaes/neo4j_ether</w:t>
        </w:r>
      </w:hyperlink>
      <w:r>
        <w:t xml:space="preserve">. All results are reproducible from the</w:t>
      </w:r>
      <w:r>
        <w:t xml:space="preserve"> </w:t>
      </w:r>
      <w:r>
        <w:t xml:space="preserve">public</w:t>
      </w:r>
      <w:r>
        <w:t xml:space="preserve"> </w:t>
      </w:r>
      <w:r>
        <w:rPr>
          <w:rStyle w:val="VerbatimChar"/>
        </w:rPr>
        <w:t xml:space="preserve">bigquery-public-data.crypto_ethereum</w:t>
      </w:r>
      <w:r>
        <w:t xml:space="preserve"> </w:t>
      </w:r>
      <w:r>
        <w:t xml:space="preserve">dataset; the repository documents the</w:t>
      </w:r>
      <w:r>
        <w:t xml:space="preserve"> </w:t>
      </w:r>
      <w:r>
        <w:t xml:space="preserve">block windows, the cumulative block-count ladder, and the eras used.</w:t>
      </w:r>
    </w:p>
    <w:bookmarkEnd w:id="49"/>
    <w:bookmarkStart w:id="5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(Bakkal et al. 2017; Elayam et al. 2022; Gómez,</w:t>
      </w:r>
      <w:r>
        <w:rPr>
          <w:i/>
          <w:iCs/>
        </w:rPr>
        <w:t xml:space="preserve"> </w:t>
      </w:r>
      <w:r>
        <w:rPr>
          <w:i/>
          <w:iCs/>
        </w:rPr>
        <w:t xml:space="preserve">Kuijpers &amp; Vaisman 2019; Karim et al. 2021; Khan et al. 2017; Lin et al. 2020;</w:t>
      </w:r>
      <w:r>
        <w:rPr>
          <w:i/>
          <w:iCs/>
        </w:rPr>
        <w:t xml:space="preserve"> </w:t>
      </w:r>
      <w:r>
        <w:rPr>
          <w:i/>
          <w:iCs/>
        </w:rPr>
        <w:t xml:space="preserve">Tamilmani &amp; Stefanakis 2019; Xue et al. 2022; Estupiñán 2020; Said et al. 2021;</w:t>
      </w:r>
      <w:r>
        <w:rPr>
          <w:i/>
          <w:iCs/>
        </w:rPr>
        <w:t xml:space="preserve"> </w:t>
      </w:r>
      <w:r>
        <w:rPr>
          <w:i/>
          <w:iCs/>
        </w:rPr>
        <w:t xml:space="preserve">Kiffer et al. 2018; Victor &amp; Weintraud 2021; Victor 2019; Tschorsch &amp; Scheuermann</w:t>
      </w:r>
      <w:r>
        <w:rPr>
          <w:i/>
          <w:iCs/>
        </w:rPr>
        <w:t xml:space="preserve"> </w:t>
      </w:r>
      <w:r>
        <w:rPr>
          <w:i/>
          <w:iCs/>
        </w:rPr>
        <w:t xml:space="preserve">2016.)</w:t>
      </w:r>
    </w:p>
    <w:p>
      <w:pPr>
        <w:pStyle w:val="BodyText"/>
      </w:pPr>
      <w:r>
        <w:t xml:space="preserve">Data source:</w:t>
      </w:r>
      <w:r>
        <w:t xml:space="preserve"> </w:t>
      </w:r>
      <w:r>
        <w:t xml:space="preserve">- Google BigQuery public dataset</w:t>
      </w:r>
      <w:r>
        <w:t xml:space="preserve"> </w:t>
      </w:r>
      <w:r>
        <w:rPr>
          <w:rStyle w:val="VerbatimChar"/>
        </w:rPr>
        <w:t xml:space="preserve">bigquery-public-data.crypto_ethereum</w:t>
      </w:r>
      <w:r>
        <w:t xml:space="preserve"> </w:t>
      </w:r>
      <w:r>
        <w:t xml:space="preserve">(Ethereum</w:t>
      </w:r>
      <w:r>
        <w:t xml:space="preserve"> </w:t>
      </w:r>
      <w:r>
        <w:t xml:space="preserve">ETL), used for all data acquisition in Section 4.</w:t>
      </w:r>
    </w:p>
    <w:bookmarkEnd w:id="50"/>
    <w:bookmarkStart w:id="57" w:name="appendix-a-result-tables"/>
    <w:p>
      <w:pPr>
        <w:pStyle w:val="Heading2"/>
      </w:pPr>
      <w:r>
        <w:t xml:space="preserve">Appendix A — Result tables</w:t>
      </w:r>
    </w:p>
    <w:p>
      <w:pPr>
        <w:pStyle w:val="FirstParagraph"/>
      </w:pPr>
      <w:r>
        <w:t xml:space="preserve">Curated results referenced in Section 4. Full per-run tables (all queries, all cut-offs and eras) and comparison pivots are also available under</w:t>
      </w:r>
      <w:r>
        <w:t xml:space="preserve"> </w:t>
      </w:r>
      <w:r>
        <w:rPr>
          <w:rStyle w:val="VerbatimChar"/>
        </w:rPr>
        <w:t xml:space="preserve">data/results/&lt;era&gt;/&lt;n&gt;/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data/output/</w:t>
      </w:r>
      <w:r>
        <w:t xml:space="preserve">.</w:t>
      </w:r>
    </w:p>
    <w:p>
      <w:pPr>
        <w:pStyle w:val="BodyText"/>
      </w:pPr>
      <w:r>
        <w:t xml:space="preserve">The ETH totals in Tables A.1 and A.6 sum external-transaction value and internal-transaction amount over incoming edges, so ETH forwarded through a contract may be counted at more than one hop; these tables are intended for ranking, not exact fund accounting.</w:t>
      </w:r>
    </w:p>
    <w:bookmarkStart w:id="51" w:name="X214d4ec02ec74041553deb549fd11790b2703f8"/>
    <w:p>
      <w:pPr>
        <w:pStyle w:val="Heading3"/>
      </w:pPr>
      <w:r>
        <w:t xml:space="preserve">Table A.1 — Top-ten accounts by total ETH received and sent (post-Dencun 2024, 10,000 blocks)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Account (received)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ETH received</w:t>
            </w:r>
          </w:p>
        </w:tc>
        <w:tc>
          <w:tcPr/>
          <w:p>
            <w:pPr>
              <w:pStyle w:val="Compact"/>
            </w:pPr>
            <w:r>
              <w:t xml:space="preserve">Account (sent)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ETH sent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0xc02a…6cc2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198,186.49</w:t>
            </w:r>
          </w:p>
        </w:tc>
        <w:tc>
          <w:tcPr/>
          <w:p>
            <w:pPr>
              <w:pStyle w:val="Compact"/>
            </w:pPr>
            <w:r>
              <w:t xml:space="preserve">0xc02a…6cc2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150,524.44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0x0000…05fa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124,741.00</w:t>
            </w:r>
          </w:p>
        </w:tc>
        <w:tc>
          <w:tcPr/>
          <w:p>
            <w:pPr>
              <w:pStyle w:val="Compact"/>
            </w:pPr>
            <w:r>
              <w:t xml:space="preserve">0x28c6…1d60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121,171.97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0xb5d8…f511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97,121.07</w:t>
            </w:r>
          </w:p>
        </w:tc>
        <w:tc>
          <w:tcPr/>
          <w:p>
            <w:pPr>
              <w:pStyle w:val="Compact"/>
            </w:pPr>
            <w:r>
              <w:t xml:space="preserve">0xb5d8…f511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103,128.36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0x28c6…1d60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87,524.79</w:t>
            </w:r>
          </w:p>
        </w:tc>
        <w:tc>
          <w:tcPr/>
          <w:p>
            <w:pPr>
              <w:pStyle w:val="Compact"/>
            </w:pPr>
            <w:r>
              <w:t xml:space="preserve">0xae7a…fe84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95,596.98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0xa9d1…3e43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69,661.62</w:t>
            </w:r>
          </w:p>
        </w:tc>
        <w:tc>
          <w:tcPr/>
          <w:p>
            <w:pPr>
              <w:pStyle w:val="Compact"/>
            </w:pPr>
            <w:r>
              <w:t xml:space="preserve">0x889e…f9b1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73,291.14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0x1714…17eb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50,906.99</w:t>
            </w:r>
          </w:p>
        </w:tc>
        <w:tc>
          <w:tcPr/>
          <w:p>
            <w:pPr>
              <w:pStyle w:val="Compact"/>
            </w:pPr>
            <w:r>
              <w:t xml:space="preserve">0xa9d1…3e43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67,164.87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0xae7a…fe84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50,906.99</w:t>
            </w:r>
          </w:p>
        </w:tc>
        <w:tc>
          <w:tcPr/>
          <w:p>
            <w:pPr>
              <w:pStyle w:val="Compact"/>
            </w:pPr>
            <w:r>
              <w:t xml:space="preserve">0xceb6…66ea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61,343.35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0x8934…b2b9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49,121.18</w:t>
            </w:r>
          </w:p>
        </w:tc>
        <w:tc>
          <w:tcPr/>
          <w:p>
            <w:pPr>
              <w:pStyle w:val="Compact"/>
            </w:pPr>
            <w:r>
              <w:t xml:space="preserve">0x8934…b2b9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49,121.18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0xc364…fe88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41,233.48</w:t>
            </w:r>
          </w:p>
        </w:tc>
        <w:tc>
          <w:tcPr/>
          <w:p>
            <w:pPr>
              <w:pStyle w:val="Compact"/>
            </w:pPr>
            <w:r>
              <w:t xml:space="preserve">0xf2f3…0d60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45,234.17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0xceb6…66ea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41,177.70</w:t>
            </w:r>
          </w:p>
        </w:tc>
        <w:tc>
          <w:tcPr/>
          <w:p>
            <w:pPr>
              <w:pStyle w:val="Compact"/>
            </w:pPr>
            <w:r>
              <w:t xml:space="preserve">0xfddf…2999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44,672.00</w:t>
            </w:r>
          </w:p>
        </w:tc>
      </w:tr>
    </w:tbl>
    <w:bookmarkEnd w:id="51"/>
    <w:bookmarkStart w:id="52" w:name="X5863678dbf673f417b0f3fae876c6fc79abdeac"/>
    <w:p>
      <w:pPr>
        <w:pStyle w:val="Heading3"/>
      </w:pPr>
      <w:r>
        <w:t xml:space="preserve">Table A.2 — Top-ten accounts by transaction-participation percentage (post-Dencun 2024, 10,000 blocks)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Sent 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Received 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participation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0xc02a…6cc2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127,869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0x3fc9…7fad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0xdac1…1ec7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158,362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0x7a25…488d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0x3328…9c49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0x80a6…5d9e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0xa0b8…eb48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0x1111…0582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0x3a10…981f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0xa69b…e78c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</w:tbl>
    <w:bookmarkEnd w:id="52"/>
    <w:bookmarkStart w:id="53" w:name="X7d84aa2e0b2b54693ba43a4ccbab22deed22e9e"/>
    <w:p>
      <w:pPr>
        <w:pStyle w:val="Heading3"/>
      </w:pPr>
      <w:r>
        <w:t xml:space="preserve">Table A.3 — External-transaction value statistics across the block-count ladder (post-Dencun 2024, ETH)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199.0352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1,462.0000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2,505.7346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17,536.8474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17,568.3202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</w:t>
            </w:r>
          </w:p>
        </w:tc>
      </w:tr>
    </w:tbl>
    <w:bookmarkEnd w:id="53"/>
    <w:bookmarkStart w:id="54" w:name="X145395819cc267584b954e33b6206b843e06e16"/>
    <w:p>
      <w:pPr>
        <w:pStyle w:val="Heading3"/>
      </w:pPr>
      <w:r>
        <w:t xml:space="preserve">Table A.4 — Internal-transaction amount statistics across the block-count ladder (post-Dencun 2024, ETH)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1,462.0000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1,462.0000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28,382.1031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0.1874</w:t>
            </w:r>
          </w:p>
        </w:tc>
      </w:tr>
    </w:tbl>
    <w:bookmarkEnd w:id="54"/>
    <w:bookmarkStart w:id="55" w:name="X8aa201537f882d17bb999ec593b8110b2f44bac"/>
    <w:p>
      <w:pPr>
        <w:pStyle w:val="Heading3"/>
      </w:pPr>
      <w:r>
        <w:t xml:space="preserve">Table A.5 — Top-ten sender→receiver pairs (post-Dencun 2024, 10,000 blocks)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1164"/>
        <w:gridCol w:w="174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Pair (by tx count)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Tx count</w:t>
            </w:r>
          </w:p>
        </w:tc>
        <w:tc>
          <w:tcPr/>
          <w:p>
            <w:pPr>
              <w:pStyle w:val="Compact"/>
            </w:pPr>
            <w:r>
              <w:t xml:space="preserve">Pair (by ETH)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ETH transferred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0xae2f…ae13→0x1f2f…f387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8,097</w:t>
            </w:r>
          </w:p>
        </w:tc>
        <w:tc>
          <w:tcPr/>
          <w:p>
            <w:pPr>
              <w:pStyle w:val="Compact"/>
            </w:pPr>
            <w:r>
              <w:t xml:space="preserve">0xb5d8…f511→0xa9d1…3e43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60,722.48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0x0000…cbe0→0x68d3…0dc9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5,303</w:t>
            </w:r>
          </w:p>
        </w:tc>
        <w:tc>
          <w:tcPr/>
          <w:p>
            <w:pPr>
              <w:pStyle w:val="Compact"/>
            </w:pPr>
            <w:r>
              <w:t xml:space="preserve">0x28c6…1d60→0xdfd5…963d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32,049.43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0x0000…4a5f→0x68d3…0dc9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5,301</w:t>
            </w:r>
          </w:p>
        </w:tc>
        <w:tc>
          <w:tcPr/>
          <w:p>
            <w:pPr>
              <w:pStyle w:val="Compact"/>
            </w:pPr>
            <w:r>
              <w:t xml:space="preserve">0xcfec…9ff5→0x0000…05fa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24,544.00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0x4634…9758→0xdac1…1ec7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3,770</w:t>
            </w:r>
          </w:p>
        </w:tc>
        <w:tc>
          <w:tcPr/>
          <w:p>
            <w:pPr>
              <w:pStyle w:val="Compact"/>
            </w:pPr>
            <w:r>
              <w:t xml:space="preserve">0x28c6…1d60→0x21a3…5549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21,588.05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0x7830…6f43→0xa9d1…3e43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3,272</w:t>
            </w:r>
          </w:p>
        </w:tc>
        <w:tc>
          <w:tcPr/>
          <w:p>
            <w:pPr>
              <w:pStyle w:val="Compact"/>
            </w:pPr>
            <w:r>
              <w:t xml:space="preserve">0x28c6…1d60→0x4976…2327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20,369.97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0x9379…7551→0x68d3…6fbf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2,896</w:t>
            </w:r>
          </w:p>
        </w:tc>
        <w:tc>
          <w:tcPr/>
          <w:p>
            <w:pPr>
              <w:pStyle w:val="Compact"/>
            </w:pPr>
            <w:r>
              <w:t xml:space="preserve">0x28c6…1d60→0x56ed…b17f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19,567.25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0x89e5…7c40→0xdac1…1ec7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2,716</w:t>
            </w:r>
          </w:p>
        </w:tc>
        <w:tc>
          <w:tcPr/>
          <w:p>
            <w:pPr>
              <w:pStyle w:val="Compact"/>
            </w:pPr>
            <w:r>
              <w:t xml:space="preserve">0xfae1…4cf6→0xcd53…ca7b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17,568.32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0x355d…09d5→0xaf12…d58e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2,635</w:t>
            </w:r>
          </w:p>
        </w:tc>
        <w:tc>
          <w:tcPr/>
          <w:p>
            <w:pPr>
              <w:pStyle w:val="Compact"/>
            </w:pPr>
            <w:r>
              <w:t xml:space="preserve">0xbe9f…696b→0xceb6…66ea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17,536.85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0x4481…5af8→0x68d3…6fbf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2,610</w:t>
            </w:r>
          </w:p>
        </w:tc>
        <w:tc>
          <w:tcPr/>
          <w:p>
            <w:pPr>
              <w:pStyle w:val="Compact"/>
            </w:pPr>
            <w:r>
              <w:t xml:space="preserve">0xfaff…4497→0xceb6…66ea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17,513.06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0x56ed…b17f→0xdac1…1ec7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2,283</w:t>
            </w:r>
          </w:p>
        </w:tc>
        <w:tc>
          <w:tcPr/>
          <w:p>
            <w:pPr>
              <w:pStyle w:val="Compact"/>
            </w:pPr>
            <w:r>
              <w:t xml:space="preserve">0xceb6…66ea→0x930f…c785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17,491.36</w:t>
            </w:r>
          </w:p>
        </w:tc>
      </w:tr>
    </w:tbl>
    <w:bookmarkEnd w:id="55"/>
    <w:bookmarkStart w:id="56" w:name="X82d7506a9cdc605ac13e50261740acac4f65c3d"/>
    <w:p>
      <w:pPr>
        <w:pStyle w:val="Heading3"/>
      </w:pPr>
      <w:r>
        <w:t xml:space="preserve">Table A.6 — Top-five accounts by total ETH received, per era (10,000-block windows)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0xaa1a…6444 (2,938,082.38)</w:t>
            </w:r>
          </w:p>
        </w:tc>
        <w:tc>
          <w:tcPr/>
          <w:p>
            <w:pPr>
              <w:pStyle w:val="Compact"/>
            </w:pPr>
            <w:r>
              <w:t xml:space="preserve">0x7a25…488d (536,109.63)</w:t>
            </w:r>
          </w:p>
        </w:tc>
        <w:tc>
          <w:tcPr/>
          <w:p>
            <w:pPr>
              <w:pStyle w:val="Compact"/>
            </w:pPr>
            <w:r>
              <w:t xml:space="preserve">0x8358…28fe (181,792.00)</w:t>
            </w:r>
          </w:p>
        </w:tc>
        <w:tc>
          <w:tcPr/>
          <w:p>
            <w:pPr>
              <w:pStyle w:val="Compact"/>
            </w:pPr>
            <w:r>
              <w:t xml:space="preserve">0xc02a…6cc2 (198,186.49)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0x32be…2d88 (2,322,598.73)</w:t>
            </w:r>
          </w:p>
        </w:tc>
        <w:tc>
          <w:tcPr/>
          <w:p>
            <w:pPr>
              <w:pStyle w:val="Compact"/>
            </w:pPr>
            <w:r>
              <w:t xml:space="preserve">0xc02a…6cc2 (519,004.51)</w:t>
            </w:r>
          </w:p>
        </w:tc>
        <w:tc>
          <w:tcPr/>
          <w:p>
            <w:pPr>
              <w:pStyle w:val="Compact"/>
            </w:pPr>
            <w:r>
              <w:t xml:space="preserve">0xc02a…6cc2 (144,639.95)</w:t>
            </w:r>
          </w:p>
        </w:tc>
        <w:tc>
          <w:tcPr/>
          <w:p>
            <w:pPr>
              <w:pStyle w:val="Compact"/>
            </w:pPr>
            <w:r>
              <w:t xml:space="preserve">0x0000…05fa (124,741.00)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0xbfc3…5bdd (2,276,719.06)</w:t>
            </w:r>
          </w:p>
        </w:tc>
        <w:tc>
          <w:tcPr/>
          <w:p>
            <w:pPr>
              <w:pStyle w:val="Compact"/>
            </w:pPr>
            <w:r>
              <w:t xml:space="preserve">0x3f5c…f0be (231,722.33)</w:t>
            </w:r>
          </w:p>
        </w:tc>
        <w:tc>
          <w:tcPr/>
          <w:p>
            <w:pPr>
              <w:pStyle w:val="Compact"/>
            </w:pPr>
            <w:r>
              <w:t xml:space="preserve">0xef1c…bf6b (43,212.43)</w:t>
            </w:r>
          </w:p>
        </w:tc>
        <w:tc>
          <w:tcPr/>
          <w:p>
            <w:pPr>
              <w:pStyle w:val="Compact"/>
            </w:pPr>
            <w:r>
              <w:t xml:space="preserve">0xb5d8…f511 (97,121.07)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0x04c9…3ee5 (775,333.68)</w:t>
            </w:r>
          </w:p>
        </w:tc>
        <w:tc>
          <w:tcPr/>
          <w:p>
            <w:pPr>
              <w:pStyle w:val="Compact"/>
            </w:pPr>
            <w:r>
              <w:t xml:space="preserve">0x8358…28fe (141,912.00)</w:t>
            </w:r>
          </w:p>
        </w:tc>
        <w:tc>
          <w:tcPr/>
          <w:p>
            <w:pPr>
              <w:pStyle w:val="Compact"/>
            </w:pPr>
            <w:r>
              <w:t xml:space="preserve">0x28c6…1d60 (42,099.06)</w:t>
            </w:r>
          </w:p>
        </w:tc>
        <w:tc>
          <w:tcPr/>
          <w:p>
            <w:pPr>
              <w:pStyle w:val="Compact"/>
            </w:pPr>
            <w:r>
              <w:t xml:space="preserve">0x28c6…1d60 (87,524.79)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0xd5c6…06b7 (775,333.00)</w:t>
            </w:r>
          </w:p>
        </w:tc>
        <w:tc>
          <w:tcPr/>
          <w:p>
            <w:pPr>
              <w:pStyle w:val="Compact"/>
            </w:pPr>
            <w:r>
              <w:t xml:space="preserve">0xfa52…40b3 (85,549.30)</w:t>
            </w:r>
          </w:p>
        </w:tc>
        <w:tc>
          <w:tcPr/>
          <w:p>
            <w:pPr>
              <w:pStyle w:val="Compact"/>
            </w:pPr>
            <w:r>
              <w:t xml:space="preserve">0xc364…fe88 (36,557.31)</w:t>
            </w:r>
          </w:p>
        </w:tc>
        <w:tc>
          <w:tcPr/>
          <w:p>
            <w:pPr>
              <w:pStyle w:val="Compact"/>
            </w:pPr>
            <w:r>
              <w:t xml:space="preserve">0xa9d1…3e43 (69,661.62)</w:t>
            </w:r>
          </w:p>
        </w:tc>
      </w:tr>
    </w:tbl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48" Target="https://github.com/jmejiaes/neo4j_eth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github.com/jmejiaes/neo4j_eth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2026-07-11T22:53:45Z</dcterms:created>
  <dcterms:modified xsi:type="dcterms:W3CDTF">2026-07-11T22:53:45Z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