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jc w:val="center"/>
      </w:pPr>
      <w:r>
        <w:rPr>
          <w:rFonts w:ascii="Arial" w:cs="Arial" w:eastAsia="Arial" w:hAnsi="Arial"/>
          <w:b/>
          <w:bCs/>
          <w:color w:val="0067B1"/>
          <w:sz w:val="56"/>
          <w:szCs w:val="56"/>
        </w:rPr>
        <w:t xml:space="preserve">NTT DATA</w:t>
      </w:r>
    </w:p>
    <w:p>
      <w:pPr>
        <w:spacing w:before="120"/>
        <w:jc w:val="center"/>
      </w:pPr>
      <w:r>
        <w:rPr>
          <w:rFonts w:ascii="Arial" w:cs="Arial" w:eastAsia="Arial" w:hAnsi="Arial"/>
          <w:color w:val="404040"/>
          <w:sz w:val="28"/>
          <w:szCs w:val="28"/>
        </w:rPr>
        <w:t xml:space="preserve">Practice Digital &amp; Innovation</w:t>
      </w:r>
    </w:p>
    <w:p>
      <w:pPr>
        <w:spacing w:after="60" w:before="60"/>
      </w:pPr>
      <w:r>
        <w:t xml:space="preserve"> </w:t>
      </w:r>
    </w:p>
    <w:p>
      <w:pPr>
        <w:spacing w:after="60" w:before="60"/>
      </w:pPr>
      <w:r>
        <w:t xml:space="preserve"> </w:t>
      </w:r>
    </w:p>
    <w:p>
      <w:pPr>
        <w:pBdr>
          <w:top w:val="single" w:color="0067B1" w:sz="8"/>
          <w:bottom w:val="single" w:color="0067B1" w:sz="8"/>
        </w:pBdr>
        <w:spacing w:after="240" w:before="240"/>
        <w:jc w:val="center"/>
      </w:pPr>
      <w:r>
        <w:rPr>
          <w:rFonts w:ascii="Arial" w:cs="Arial" w:eastAsia="Arial" w:hAnsi="Arial"/>
          <w:b/>
          <w:bCs/>
          <w:color w:val="000000"/>
          <w:sz w:val="52"/>
          <w:szCs w:val="52"/>
        </w:rPr>
        <w:t xml:space="preserve">Capacidades del AI Gateway</w:t>
      </w:r>
    </w:p>
    <w:p>
      <w:pPr>
        <w:spacing w:before="120"/>
        <w:jc w:val="center"/>
      </w:pPr>
      <w:r>
        <w:rPr>
          <w:rFonts w:ascii="Arial" w:cs="Arial" w:eastAsia="Arial" w:hAnsi="Arial"/>
          <w:color w:val="0067B1"/>
          <w:sz w:val="36"/>
          <w:szCs w:val="36"/>
        </w:rPr>
        <w:t xml:space="preserve">Solo.io Enterprise kgateway v2.2.0</w:t>
      </w:r>
    </w:p>
    <w:p>
      <w:pPr>
        <w:spacing w:after="60" w:before="60"/>
      </w:pPr>
      <w:r>
        <w:t xml:space="preserve"> </w:t>
      </w:r>
    </w:p>
    <w:p>
      <w:pPr>
        <w:jc w:val="center"/>
      </w:pPr>
      <w:r>
        <w:rPr>
          <w:rFonts w:ascii="Arial" w:cs="Arial" w:eastAsia="Arial" w:hAnsi="Arial"/>
          <w:i/>
          <w:iCs/>
          <w:color w:val="888888"/>
          <w:sz w:val="24"/>
          <w:szCs w:val="24"/>
        </w:rPr>
        <w:t xml:space="preserve">Referencia Tecnica | PDI NTT DATA | Abril 2026</w:t>
      </w:r>
    </w:p>
    <w:p>
      <w:pPr>
        <w:spacing w:after="60" w:before="60"/>
      </w:pPr>
      <w:r>
        <w:t xml:space="preserve"> </w:t>
      </w:r>
    </w:p>
    <w:p>
      <w:pPr>
        <w:spacing w:after="60" w:before="60"/>
      </w:pPr>
      <w:r>
        <w:t xml:space="preserve"> </w:t>
      </w:r>
    </w:p>
    <w:p>
      <w:pPr>
        <w:spacing w:after="60" w:before="60"/>
      </w:pPr>
      <w:r>
        <w:t xml:space="preserve"> </w:t>
      </w:r>
    </w:p>
    <w:p>
      <w:pPr>
        <w:spacing w:after="60" w:before="60"/>
      </w:pPr>
      <w:r>
        <w:t xml:space="preserve"> </w:t>
      </w:r>
    </w:p>
    <w:p>
      <w:r>
        <w:br w:type="page"/>
      </w:r>
    </w:p>
    <w:p>
      <w:pPr>
        <w:pStyle w:val="Heading1"/>
        <w:pBdr>
          <w:bottom w:val="single" w:color="0067B1" w:sz="4" w:space="4"/>
        </w:pBdr>
        <w:spacing w:after="120" w:before="360"/>
      </w:pPr>
      <w:r>
        <w:rPr>
          <w:rFonts w:ascii="Arial" w:cs="Arial" w:eastAsia="Arial" w:hAnsi="Arial"/>
          <w:b/>
          <w:bCs/>
          <w:color w:val="0067B1"/>
          <w:sz w:val="28"/>
          <w:szCs w:val="28"/>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67B1" w:sz="4" w:space="4"/>
        </w:pBdr>
        <w:spacing w:after="120" w:before="360"/>
      </w:pPr>
      <w:r>
        <w:rPr>
          <w:rFonts w:ascii="Arial" w:cs="Arial" w:eastAsia="Arial" w:hAnsi="Arial"/>
          <w:b/>
          <w:bCs/>
          <w:color w:val="0067B1"/>
          <w:sz w:val="28"/>
          <w:szCs w:val="28"/>
        </w:rPr>
        <w:t xml:space="preserve">1. Resumen Ejecutivo de Capacidades</w:t>
      </w:r>
    </w:p>
    <w:p>
      <w:pPr>
        <w:spacing w:after="80" w:before="80"/>
      </w:pPr>
      <w:r>
        <w:rPr>
          <w:rFonts w:ascii="Arial" w:cs="Arial" w:eastAsia="Arial" w:hAnsi="Arial"/>
          <w:sz w:val="22"/>
          <w:szCs w:val="22"/>
        </w:rPr>
        <w:t xml:space="preserve">El AI Gateway de Solo.io es una solucion enterprise basada en Envoy Proxy que centraliza el acceso, la seguridad y la gobernanza de los LLMs (Large Language Models). A diferencia de un API Gateway tradicional, esta disenado especificamente para el comportamiento probabilistico, de alto costo y de alta latencia de los modelos de IA generativa.</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1400"/>
        <w:gridCol w:w="2860"/>
      </w:tblGrid>
      <w:tr>
        <w:trPr>
          <w:tblHeader/>
        </w:trPr>
        <w:tc>
          <w:tcPr>
            <w:tcW w:type="dxa" w:w="35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Capacidad</w:t>
            </w:r>
          </w:p>
        </w:tc>
        <w:tc>
          <w:tcPr>
            <w:tcW w:type="dxa" w:w="16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Estado en Spike</w:t>
            </w:r>
          </w:p>
        </w:tc>
        <w:tc>
          <w:tcPr>
            <w:tcW w:type="dxa" w:w="14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Complejidad</w:t>
            </w:r>
          </w:p>
        </w:tc>
        <w:tc>
          <w:tcPr>
            <w:tcW w:type="dxa" w:w="286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Impacto en Costos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Enrutamiento multi-proveedor LLM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Evaluado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Baja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Rate Limiting basado en tokens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Evaluado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Baja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Alto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Prompt Guards (filtrado de contenido)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Evaluado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Baja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Cache Semantico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Evaluado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Alto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RAG integrado en el gateway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Evaluado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Observabilidad AI (TTFT, tokens)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Evaluado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Baja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Bajo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Failover automatico de proveedores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Evaluado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Baja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Alto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Model Context Protocol (MCP)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Referencia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Alta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JWT / OAuth / OIDC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Referencia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Bajo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Amazon Bedrock / Gemini / Mistral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Referencia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Baja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Variable</w:t>
            </w:r>
          </w:p>
        </w:tc>
      </w:tr>
    </w:tbl>
    <w:p>
      <w:pPr>
        <w:spacing w:after="60" w:before="60"/>
      </w:pPr>
      <w:r>
        <w:t xml:space="preserve"> </w:t>
      </w:r>
    </w:p>
    <w:p>
      <w:pPr>
        <w:pStyle w:val="Heading1"/>
        <w:pBdr>
          <w:bottom w:val="single" w:color="0067B1" w:sz="4" w:space="4"/>
        </w:pBdr>
        <w:spacing w:after="120" w:before="360"/>
      </w:pPr>
      <w:r>
        <w:rPr>
          <w:rFonts w:ascii="Arial" w:cs="Arial" w:eastAsia="Arial" w:hAnsi="Arial"/>
          <w:b/>
          <w:bCs/>
          <w:color w:val="0067B1"/>
          <w:sz w:val="28"/>
          <w:szCs w:val="28"/>
        </w:rPr>
        <w:t xml:space="preserve">2. Arquitectura</w:t>
      </w:r>
    </w:p>
    <w:p>
      <w:pPr>
        <w:pStyle w:val="Heading2"/>
        <w:spacing w:after="80" w:before="240"/>
      </w:pPr>
      <w:r>
        <w:rPr>
          <w:rFonts w:ascii="Arial" w:cs="Arial" w:eastAsia="Arial" w:hAnsi="Arial"/>
          <w:b/>
          <w:bCs/>
          <w:color w:val="404040"/>
          <w:sz w:val="24"/>
          <w:szCs w:val="24"/>
        </w:rPr>
        <w:t xml:space="preserve">2.1 Fundamentos Tecnicos</w:t>
      </w:r>
    </w:p>
    <w:p>
      <w:pPr>
        <w:pStyle w:val="ListParagraph"/>
        <w:numPr>
          <w:ilvl w:val="0"/>
          <w:numId w:val="2"/>
        </w:numPr>
        <w:spacing w:after="40" w:before="40"/>
      </w:pPr>
      <w:r>
        <w:rPr>
          <w:rFonts w:ascii="Arial" w:cs="Arial" w:eastAsia="Arial" w:hAnsi="Arial"/>
          <w:sz w:val="22"/>
          <w:szCs w:val="22"/>
        </w:rPr>
        <w:t xml:space="preserve">Construido sobre Envoy Proxy — el proxy de datos estandar de la industria (Istio, AWS App Mesh, etc.)</w:t>
      </w:r>
    </w:p>
    <w:p>
      <w:pPr>
        <w:pStyle w:val="ListParagraph"/>
        <w:numPr>
          <w:ilvl w:val="0"/>
          <w:numId w:val="2"/>
        </w:numPr>
        <w:spacing w:after="40" w:before="40"/>
      </w:pPr>
      <w:r>
        <w:rPr>
          <w:rFonts w:ascii="Arial" w:cs="Arial" w:eastAsia="Arial" w:hAnsi="Arial"/>
          <w:sz w:val="22"/>
          <w:szCs w:val="22"/>
        </w:rPr>
        <w:t xml:space="preserve">Implementa el estandar CNCF Kubernetes Gateway API v1.2.0</w:t>
      </w:r>
    </w:p>
    <w:p>
      <w:pPr>
        <w:pStyle w:val="ListParagraph"/>
        <w:numPr>
          <w:ilvl w:val="0"/>
          <w:numId w:val="2"/>
        </w:numPr>
        <w:spacing w:after="40" w:before="40"/>
      </w:pPr>
      <w:r>
        <w:rPr>
          <w:rFonts w:ascii="Arial" w:cs="Arial" w:eastAsia="Arial" w:hAnsi="Arial"/>
          <w:sz w:val="22"/>
          <w:szCs w:val="22"/>
        </w:rPr>
        <w:t xml:space="preserve">Extension AI: filtros Envoy adicionales especificos para LLM, activados via GatewayParameters</w:t>
      </w:r>
    </w:p>
    <w:p>
      <w:pPr>
        <w:pStyle w:val="ListParagraph"/>
        <w:numPr>
          <w:ilvl w:val="0"/>
          <w:numId w:val="2"/>
        </w:numPr>
        <w:spacing w:after="40" w:before="40"/>
      </w:pPr>
      <w:r>
        <w:rPr>
          <w:rFonts w:ascii="Arial" w:cs="Arial" w:eastAsia="Arial" w:hAnsi="Arial"/>
          <w:sz w:val="22"/>
          <w:szCs w:val="22"/>
        </w:rPr>
        <w:t xml:space="preserve">Control plane: controlador kgateway que traduce CRDs de Kubernetes a configuracion Envoy via xDS</w:t>
      </w:r>
    </w:p>
    <w:p>
      <w:pPr>
        <w:spacing w:after="60" w:before="60"/>
      </w:pPr>
      <w:r>
        <w:t xml:space="preserve"> </w:t>
      </w:r>
    </w:p>
    <w:p>
      <w:pPr>
        <w:pStyle w:val="Heading2"/>
        <w:spacing w:after="80" w:before="240"/>
      </w:pPr>
      <w:r>
        <w:rPr>
          <w:rFonts w:ascii="Arial" w:cs="Arial" w:eastAsia="Arial" w:hAnsi="Arial"/>
          <w:b/>
          <w:bCs/>
          <w:color w:val="404040"/>
          <w:sz w:val="24"/>
          <w:szCs w:val="24"/>
        </w:rPr>
        <w:t xml:space="preserve">2.2 Flujo de una Solicitud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22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656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Que hace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Cliente (app/agente)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Envia POST /v1/chat/completions con prompt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Envoy (Listener)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Recibe la solicitud en el puerto configurado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Prompt Guard Filter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Evalua patrones regex en el prompt. REJECT si hay coincidencia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Rate Limit Filter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Verifica cuota de tokens del usuario. 429 si excede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Semantic Cache Filter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Busca respuesta similar en Redis. Retorna si hit &gt; umbral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RAG Filter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Recupera contexto de PostgreSQL y enriquece el prompt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Router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Selecciona backend segun reglas HTTPRoute (header / peso)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LLM Provider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OpenAI / Anthropic genera la respuesta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Response Guard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Enmascara PII en la respuesta antes de retornar al cliente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OTel Exporter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Emite metricas de tokens, latencia y TTFT al colector</w:t>
            </w:r>
          </w:p>
        </w:tc>
      </w:tr>
    </w:tbl>
    <w:p>
      <w:pPr>
        <w:spacing w:after="60" w:before="60"/>
      </w:pPr>
      <w:r>
        <w:t xml:space="preserve"> </w:t>
      </w:r>
    </w:p>
    <w:p>
      <w:pPr>
        <w:pStyle w:val="Heading2"/>
        <w:spacing w:after="80" w:before="240"/>
      </w:pPr>
      <w:r>
        <w:rPr>
          <w:rFonts w:ascii="Arial" w:cs="Arial" w:eastAsia="Arial" w:hAnsi="Arial"/>
          <w:b/>
          <w:bCs/>
          <w:color w:val="404040"/>
          <w:sz w:val="24"/>
          <w:szCs w:val="24"/>
        </w:rPr>
        <w:t xml:space="preserve">2.3 Compatibilidad con Estandares CNCF</w:t>
      </w:r>
    </w:p>
    <w:p>
      <w:pPr>
        <w:pStyle w:val="ListParagraph"/>
        <w:numPr>
          <w:ilvl w:val="0"/>
          <w:numId w:val="2"/>
        </w:numPr>
        <w:spacing w:after="40" w:before="40"/>
      </w:pPr>
      <w:r>
        <w:rPr>
          <w:rFonts w:ascii="Arial" w:cs="Arial" w:eastAsia="Arial" w:hAnsi="Arial"/>
          <w:sz w:val="22"/>
          <w:szCs w:val="22"/>
        </w:rPr>
        <w:t xml:space="preserve">Kubernetes Gateway API v1.2.0 (GA) — mismo estandar que usa Istio Ambient, Cilium, Envoy Gateway</w:t>
      </w:r>
    </w:p>
    <w:p>
      <w:pPr>
        <w:pStyle w:val="ListParagraph"/>
        <w:numPr>
          <w:ilvl w:val="0"/>
          <w:numId w:val="2"/>
        </w:numPr>
        <w:spacing w:after="40" w:before="40"/>
      </w:pPr>
      <w:r>
        <w:rPr>
          <w:rFonts w:ascii="Arial" w:cs="Arial" w:eastAsia="Arial" w:hAnsi="Arial"/>
          <w:sz w:val="22"/>
          <w:szCs w:val="22"/>
        </w:rPr>
        <w:t xml:space="preserve">OpenTelemetry para observabilidad — compatible con Datadog, New Relic, Prometheus, Jaeger</w:t>
      </w:r>
    </w:p>
    <w:p>
      <w:pPr>
        <w:pStyle w:val="ListParagraph"/>
        <w:numPr>
          <w:ilvl w:val="0"/>
          <w:numId w:val="2"/>
        </w:numPr>
        <w:spacing w:after="40" w:before="40"/>
      </w:pPr>
      <w:r>
        <w:rPr>
          <w:rFonts w:ascii="Arial" w:cs="Arial" w:eastAsia="Arial" w:hAnsi="Arial"/>
          <w:sz w:val="22"/>
          <w:szCs w:val="22"/>
        </w:rPr>
        <w:t xml:space="preserve">Model Context Protocol (MCP) — protocolo emergente para comunicacion agente-herramienta</w:t>
      </w:r>
    </w:p>
    <w:p>
      <w:pPr>
        <w:spacing w:after="60" w:before="60"/>
      </w:pPr>
      <w:r>
        <w:t xml:space="preserve"> </w:t>
      </w:r>
    </w:p>
    <w:p>
      <w:pPr>
        <w:pStyle w:val="Heading1"/>
        <w:pBdr>
          <w:bottom w:val="single" w:color="0067B1" w:sz="4" w:space="4"/>
        </w:pBdr>
        <w:spacing w:after="120" w:before="360"/>
      </w:pPr>
      <w:r>
        <w:rPr>
          <w:rFonts w:ascii="Arial" w:cs="Arial" w:eastAsia="Arial" w:hAnsi="Arial"/>
          <w:b/>
          <w:bCs/>
          <w:color w:val="0067B1"/>
          <w:sz w:val="28"/>
          <w:szCs w:val="28"/>
        </w:rPr>
        <w:t xml:space="preserve">3. Proveedores LLM Soportados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1400"/>
        <w:gridCol w:w="1200"/>
        <w:gridCol w:w="2560"/>
      </w:tblGrid>
      <w:tr>
        <w:trPr>
          <w:tblHeader/>
        </w:trPr>
        <w:tc>
          <w:tcPr>
            <w:tcW w:type="dxa" w:w="17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Proveedor</w:t>
            </w:r>
          </w:p>
        </w:tc>
        <w:tc>
          <w:tcPr>
            <w:tcW w:type="dxa" w:w="25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Modelos Clave</w:t>
            </w:r>
          </w:p>
        </w:tc>
        <w:tc>
          <w:tcPr>
            <w:tcW w:type="dxa" w:w="14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12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Streaming</w:t>
            </w:r>
          </w:p>
        </w:tc>
        <w:tc>
          <w:tcPr>
            <w:tcW w:type="dxa" w:w="256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Caracteristica Especial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OpenAI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gpt-4o, gpt-4-turbo, gpt-3.5-turbo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Key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07C10"/>
                <w:sz w:val="20"/>
                <w:szCs w:val="20"/>
              </w:rPr>
              <w:t xml:space="preserve">Si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Embeddings para cache/RAG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Anthropic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claude-3-5-sonnet, claude-3-haiku</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Key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07C10"/>
                <w:sz w:val="20"/>
                <w:szCs w:val="20"/>
              </w:rPr>
              <w:t xml:space="preserve">Si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Extended thinking mode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Azure OpenAI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Todos los modelos OpenAI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Key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07C10"/>
                <w:sz w:val="20"/>
                <w:szCs w:val="20"/>
              </w:rPr>
              <w:t xml:space="preserve">Si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Endpoints privados corporativos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Google Gemini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gemini-1.5-pro, gemini-1.5-flash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OAuth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07C10"/>
                <w:sz w:val="20"/>
                <w:szCs w:val="20"/>
              </w:rPr>
              <w:t xml:space="preserve">Si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Multimodal nativo</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Google Vertex AI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Gemini + modelos custom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Service Account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07C10"/>
                <w:sz w:val="20"/>
                <w:szCs w:val="20"/>
              </w:rPr>
              <w:t xml:space="preserve">Si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MLOps integrado</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Amazon Bedrock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Llama 3, Titan, Claude en AWS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AWS IAM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07C10"/>
                <w:sz w:val="20"/>
                <w:szCs w:val="20"/>
              </w:rPr>
              <w:t xml:space="preserve">Si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VPC privado, prompt caching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Mistral AI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mistral-large, mistral-7b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Key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07C10"/>
                <w:sz w:val="20"/>
                <w:szCs w:val="20"/>
              </w:rPr>
              <w:t xml:space="preserve">Si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Modelos open weights</w:t>
            </w:r>
          </w:p>
        </w:tc>
      </w:tr>
    </w:tbl>
    <w:p>
      <w:pPr>
        <w:spacing w:after="60" w:before="60"/>
      </w:pPr>
      <w:r>
        <w:t xml:space="preserve"> </w:t>
      </w:r>
    </w:p>
    <w:p>
      <w:pPr>
        <w:spacing w:after="80" w:before="80"/>
      </w:pPr>
      <w:r>
        <w:rPr>
          <w:rFonts w:ascii="Arial" w:cs="Arial" w:eastAsia="Arial" w:hAnsi="Arial"/>
          <w:sz w:val="22"/>
          <w:szCs w:val="22"/>
        </w:rPr>
        <w:t xml:space="preserve">Nota: En el spike de NTT DATA se evaluaron OpenAI y Anthropic. Los demas proveedores estan documentados como capacidad disponible pero no configurados.</w:t>
      </w:r>
    </w:p>
    <w:p>
      <w:pPr>
        <w:spacing w:after="60" w:before="60"/>
      </w:pPr>
      <w:r>
        <w:t xml:space="preserve"> </w:t>
      </w:r>
    </w:p>
    <w:p>
      <w:pPr>
        <w:pStyle w:val="Heading1"/>
        <w:pBdr>
          <w:bottom w:val="single" w:color="0067B1" w:sz="4" w:space="4"/>
        </w:pBdr>
        <w:spacing w:after="120" w:before="360"/>
      </w:pPr>
      <w:r>
        <w:rPr>
          <w:rFonts w:ascii="Arial" w:cs="Arial" w:eastAsia="Arial" w:hAnsi="Arial"/>
          <w:b/>
          <w:bCs/>
          <w:color w:val="0067B1"/>
          <w:sz w:val="28"/>
          <w:szCs w:val="28"/>
        </w:rPr>
        <w:t xml:space="preserve">4. Enrutamiento Inteligente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b/>
                <w:bCs/>
                <w:color w:val="0067B1"/>
                <w:sz w:val="22"/>
                <w:szCs w:val="22"/>
              </w:rPr>
              <w:t xml:space="preserve">Header-based Routing</w:t>
            </w:r>
          </w:p>
        </w:tc>
        <w:tc>
          <w:tcPr>
            <w:tcW w:type="dxa" w:w="1680"/>
            <w:tcBorders>
              <w:top w:val="single" w:color="CCCCCC" w:sz="1"/>
              <w:left w:val="single" w:color="CCCCCC" w:sz="1"/>
              <w:bottom w:val="single" w:color="CCCCCC" w:sz="1"/>
              <w:right w:val="single" w:color="CCCCCC" w:sz="1"/>
            </w:tcBorders>
            <w:shd w:fill="EAFAEA" w:val="clear"/>
            <w:tcMar>
              <w:top w:type="dxa" w:w="80"/>
              <w:left w:type="dxa" w:w="120"/>
              <w:bottom w:type="dxa" w:w="80"/>
              <w:right w:type="dxa" w:w="120"/>
            </w:tcMar>
            <w:vAlign w:val="center"/>
          </w:tcPr>
          <w:p>
            <w:pPr>
              <w:jc w:val="center"/>
            </w:pPr>
            <w:r>
              <w:rPr>
                <w:rFonts w:ascii="Arial" w:cs="Arial" w:eastAsia="Arial" w:hAnsi="Arial"/>
                <w:b/>
                <w:bCs/>
                <w:color w:val="107C10"/>
                <w:sz w:val="18"/>
                <w:szCs w:val="18"/>
              </w:rPr>
              <w:t xml:space="preserve">Evaluado</w:t>
            </w:r>
          </w:p>
        </w:tc>
        <w:tc>
          <w:tcPr>
            <w:tcW w:type="dxa" w:w="168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vAlign w:val="center"/>
          </w:tcPr>
          <w:p>
            <w:pPr>
              <w:jc w:val="center"/>
            </w:pPr>
            <w:r>
              <w:rPr>
                <w:rFonts w:ascii="Arial" w:cs="Arial" w:eastAsia="Arial" w:hAnsi="Arial"/>
                <w:sz w:val="18"/>
                <w:szCs w:val="18"/>
              </w:rPr>
              <w:t xml:space="preserve">Baja</w:t>
            </w:r>
          </w:p>
        </w:tc>
      </w:tr>
    </w:tbl>
    <w:p>
      <w:pPr>
        <w:pBdr>
          <w:left w:val="single" w:color="0067B1" w:sz="8"/>
        </w:pBdr>
        <w:spacing w:after="80" w:before="0"/>
        <w:ind w:left="160"/>
      </w:pPr>
      <w:r>
        <w:rPr>
          <w:rFonts w:ascii="Arial" w:cs="Arial" w:eastAsia="Arial" w:hAnsi="Arial"/>
          <w:color w:val="404040"/>
          <w:sz w:val="20"/>
          <w:szCs w:val="20"/>
        </w:rPr>
        <w:t xml:space="preserve">Dirige solicitudes a proveedores especificos segun el valor del header x-llm-provider. Permite al cliente elegir explicitamente el modelo sin cambiar el endpoint.</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b/>
                <w:bCs/>
                <w:color w:val="0067B1"/>
                <w:sz w:val="22"/>
                <w:szCs w:val="22"/>
              </w:rPr>
              <w:t xml:space="preserve">Traffic Splitting con Pesos</w:t>
            </w:r>
          </w:p>
        </w:tc>
        <w:tc>
          <w:tcPr>
            <w:tcW w:type="dxa" w:w="1680"/>
            <w:tcBorders>
              <w:top w:val="single" w:color="CCCCCC" w:sz="1"/>
              <w:left w:val="single" w:color="CCCCCC" w:sz="1"/>
              <w:bottom w:val="single" w:color="CCCCCC" w:sz="1"/>
              <w:right w:val="single" w:color="CCCCCC" w:sz="1"/>
            </w:tcBorders>
            <w:shd w:fill="EAFAEA" w:val="clear"/>
            <w:tcMar>
              <w:top w:type="dxa" w:w="80"/>
              <w:left w:type="dxa" w:w="120"/>
              <w:bottom w:type="dxa" w:w="80"/>
              <w:right w:type="dxa" w:w="120"/>
            </w:tcMar>
            <w:vAlign w:val="center"/>
          </w:tcPr>
          <w:p>
            <w:pPr>
              <w:jc w:val="center"/>
            </w:pPr>
            <w:r>
              <w:rPr>
                <w:rFonts w:ascii="Arial" w:cs="Arial" w:eastAsia="Arial" w:hAnsi="Arial"/>
                <w:b/>
                <w:bCs/>
                <w:color w:val="107C10"/>
                <w:sz w:val="18"/>
                <w:szCs w:val="18"/>
              </w:rPr>
              <w:t xml:space="preserve">Evaluado</w:t>
            </w:r>
          </w:p>
        </w:tc>
        <w:tc>
          <w:tcPr>
            <w:tcW w:type="dxa" w:w="168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vAlign w:val="center"/>
          </w:tcPr>
          <w:p>
            <w:pPr>
              <w:jc w:val="center"/>
            </w:pPr>
            <w:r>
              <w:rPr>
                <w:rFonts w:ascii="Arial" w:cs="Arial" w:eastAsia="Arial" w:hAnsi="Arial"/>
                <w:sz w:val="18"/>
                <w:szCs w:val="18"/>
              </w:rPr>
              <w:t xml:space="preserve">Baja</w:t>
            </w:r>
          </w:p>
        </w:tc>
      </w:tr>
    </w:tbl>
    <w:p>
      <w:pPr>
        <w:pBdr>
          <w:left w:val="single" w:color="0067B1" w:sz="8"/>
        </w:pBdr>
        <w:spacing w:after="80" w:before="0"/>
        <w:ind w:left="160"/>
      </w:pPr>
      <w:r>
        <w:rPr>
          <w:rFonts w:ascii="Arial" w:cs="Arial" w:eastAsia="Arial" w:hAnsi="Arial"/>
          <w:color w:val="404040"/>
          <w:sz w:val="20"/>
          <w:szCs w:val="20"/>
        </w:rPr>
        <w:t xml:space="preserve">Distribuye el trafico entre backends segun porcentajes configurables. Ejemplo: 80% OpenAI / 20% Anthropic. Util para A/B testing de modelos o transicion gradual entre proveedores.</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b/>
                <w:bCs/>
                <w:color w:val="0067B1"/>
                <w:sz w:val="22"/>
                <w:szCs w:val="22"/>
              </w:rPr>
              <w:t xml:space="preserve">Failover Automatico</w:t>
            </w:r>
          </w:p>
        </w:tc>
        <w:tc>
          <w:tcPr>
            <w:tcW w:type="dxa" w:w="1680"/>
            <w:tcBorders>
              <w:top w:val="single" w:color="CCCCCC" w:sz="1"/>
              <w:left w:val="single" w:color="CCCCCC" w:sz="1"/>
              <w:bottom w:val="single" w:color="CCCCCC" w:sz="1"/>
              <w:right w:val="single" w:color="CCCCCC" w:sz="1"/>
            </w:tcBorders>
            <w:shd w:fill="EAFAEA" w:val="clear"/>
            <w:tcMar>
              <w:top w:type="dxa" w:w="80"/>
              <w:left w:type="dxa" w:w="120"/>
              <w:bottom w:type="dxa" w:w="80"/>
              <w:right w:type="dxa" w:w="120"/>
            </w:tcMar>
            <w:vAlign w:val="center"/>
          </w:tcPr>
          <w:p>
            <w:pPr>
              <w:jc w:val="center"/>
            </w:pPr>
            <w:r>
              <w:rPr>
                <w:rFonts w:ascii="Arial" w:cs="Arial" w:eastAsia="Arial" w:hAnsi="Arial"/>
                <w:b/>
                <w:bCs/>
                <w:color w:val="107C10"/>
                <w:sz w:val="18"/>
                <w:szCs w:val="18"/>
              </w:rPr>
              <w:t xml:space="preserve">Evaluado</w:t>
            </w:r>
          </w:p>
        </w:tc>
        <w:tc>
          <w:tcPr>
            <w:tcW w:type="dxa" w:w="168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vAlign w:val="center"/>
          </w:tcPr>
          <w:p>
            <w:pPr>
              <w:jc w:val="center"/>
            </w:pPr>
            <w:r>
              <w:rPr>
                <w:rFonts w:ascii="Arial" w:cs="Arial" w:eastAsia="Arial" w:hAnsi="Arial"/>
                <w:sz w:val="18"/>
                <w:szCs w:val="18"/>
              </w:rPr>
              <w:t xml:space="preserve">Baja</w:t>
            </w:r>
          </w:p>
        </w:tc>
      </w:tr>
    </w:tbl>
    <w:p>
      <w:pPr>
        <w:pBdr>
          <w:left w:val="single" w:color="0067B1" w:sz="8"/>
        </w:pBdr>
        <w:spacing w:after="80" w:before="0"/>
        <w:ind w:left="160"/>
      </w:pPr>
      <w:r>
        <w:rPr>
          <w:rFonts w:ascii="Arial" w:cs="Arial" w:eastAsia="Arial" w:hAnsi="Arial"/>
          <w:color w:val="404040"/>
          <w:sz w:val="20"/>
          <w:szCs w:val="20"/>
        </w:rPr>
        <w:t xml:space="preserve">Si el proveedor primario responde con error (429, 5xx) o supera el timeout, el gateway reintenta automaticamente con el proveedor de menor prioridad. Transparente para el cliente.</w:t>
      </w:r>
    </w:p>
    <w:p>
      <w:pPr>
        <w:spacing w:after="60" w:before="60"/>
      </w:pPr>
      <w:r>
        <w:t xml:space="preserve"> </w:t>
      </w:r>
    </w:p>
    <w:p>
      <w:pPr>
        <w:pStyle w:val="Heading2"/>
        <w:spacing w:after="80" w:before="240"/>
      </w:pPr>
      <w:r>
        <w:rPr>
          <w:rFonts w:ascii="Arial" w:cs="Arial" w:eastAsia="Arial" w:hAnsi="Arial"/>
          <w:b/>
          <w:bCs/>
          <w:color w:val="404040"/>
          <w:sz w:val="24"/>
          <w:szCs w:val="24"/>
        </w:rPr>
        <w:t xml:space="preserve">4.1 Condiciones de Failover Configuradas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Condicion</w:t>
            </w:r>
          </w:p>
        </w:tc>
        <w:tc>
          <w:tcPr>
            <w:tcW w:type="dxa" w:w="28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Codigo HTTP</w:t>
            </w:r>
          </w:p>
        </w:tc>
        <w:tc>
          <w:tcPr>
            <w:tcW w:type="dxa" w:w="376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Comportamiento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Rate limit del proveedor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429 Too Many Requests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Failover inmediato al siguiente proveedor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Error interno del proveedor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500, 502, 503, 504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Failover tras 2 reintentos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Timeout de respuesta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Timeout configurado: 30s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Failover al siguiente proveedor</w:t>
            </w:r>
          </w:p>
        </w:tc>
      </w:tr>
    </w:tbl>
    <w:p>
      <w:pPr>
        <w:spacing w:after="60" w:before="60"/>
      </w:pPr>
      <w:r>
        <w:t xml:space="preserve"> </w:t>
      </w:r>
    </w:p>
    <w:p>
      <w:pPr>
        <w:pStyle w:val="Heading1"/>
        <w:pBdr>
          <w:bottom w:val="single" w:color="0067B1" w:sz="4" w:space="4"/>
        </w:pBdr>
        <w:spacing w:after="120" w:before="360"/>
      </w:pPr>
      <w:r>
        <w:rPr>
          <w:rFonts w:ascii="Arial" w:cs="Arial" w:eastAsia="Arial" w:hAnsi="Arial"/>
          <w:b/>
          <w:bCs/>
          <w:color w:val="0067B1"/>
          <w:sz w:val="28"/>
          <w:szCs w:val="28"/>
        </w:rPr>
        <w:t xml:space="preserve">5. Seguridad y Gobernanza</w:t>
      </w:r>
    </w:p>
    <w:p>
      <w:pPr>
        <w:pStyle w:val="Heading2"/>
        <w:spacing w:after="80" w:before="240"/>
      </w:pPr>
      <w:r>
        <w:rPr>
          <w:rFonts w:ascii="Arial" w:cs="Arial" w:eastAsia="Arial" w:hAnsi="Arial"/>
          <w:b/>
          <w:bCs/>
          <w:color w:val="404040"/>
          <w:sz w:val="24"/>
          <w:szCs w:val="24"/>
        </w:rPr>
        <w:t xml:space="preserve">5.1 Autenticacion y Autorizacion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Mecanismo</w:t>
            </w:r>
          </w:p>
        </w:tc>
        <w:tc>
          <w:tcPr>
            <w:tcW w:type="dxa" w:w="38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c>
          <w:tcPr>
            <w:tcW w:type="dxa" w:w="336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Caso de Uso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Key (header)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Validacion de clave en header de la solicitud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Integracion simple para servicios internos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JWT / Bearer Token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Validacion y extraccion de claims del token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SSO corporativo, identificacion de usuarios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OAuth 2.0 / OIDC</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Flujo completo de autorizacion con IdP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Aplicaciones web/moviles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MCP OAuth 2.1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Auth agente-a-agente con tool-level RBAC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Orquestacion de agentes AI</w:t>
            </w:r>
          </w:p>
        </w:tc>
      </w:tr>
    </w:tbl>
    <w:p>
      <w:pPr>
        <w:spacing w:after="60" w:before="60"/>
      </w:pPr>
      <w:r>
        <w:t xml:space="preserve"> </w:t>
      </w:r>
    </w:p>
    <w:p>
      <w:pPr>
        <w:pStyle w:val="Heading2"/>
        <w:spacing w:after="80" w:before="240"/>
      </w:pPr>
      <w:r>
        <w:rPr>
          <w:rFonts w:ascii="Arial" w:cs="Arial" w:eastAsia="Arial" w:hAnsi="Arial"/>
          <w:b/>
          <w:bCs/>
          <w:color w:val="404040"/>
          <w:sz w:val="24"/>
          <w:szCs w:val="24"/>
        </w:rPr>
        <w:t xml:space="preserve">5.2 Prompt Guards — Detalle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b/>
                <w:bCs/>
                <w:color w:val="0067B1"/>
                <w:sz w:val="22"/>
                <w:szCs w:val="22"/>
              </w:rPr>
              <w:t xml:space="preserve">Filtrado en Solicitud (Pre-LLM)</w:t>
            </w:r>
          </w:p>
        </w:tc>
        <w:tc>
          <w:tcPr>
            <w:tcW w:type="dxa" w:w="1680"/>
            <w:tcBorders>
              <w:top w:val="single" w:color="CCCCCC" w:sz="1"/>
              <w:left w:val="single" w:color="CCCCCC" w:sz="1"/>
              <w:bottom w:val="single" w:color="CCCCCC" w:sz="1"/>
              <w:right w:val="single" w:color="CCCCCC" w:sz="1"/>
            </w:tcBorders>
            <w:shd w:fill="EAFAEA" w:val="clear"/>
            <w:tcMar>
              <w:top w:type="dxa" w:w="80"/>
              <w:left w:type="dxa" w:w="120"/>
              <w:bottom w:type="dxa" w:w="80"/>
              <w:right w:type="dxa" w:w="120"/>
            </w:tcMar>
            <w:vAlign w:val="center"/>
          </w:tcPr>
          <w:p>
            <w:pPr>
              <w:jc w:val="center"/>
            </w:pPr>
            <w:r>
              <w:rPr>
                <w:rFonts w:ascii="Arial" w:cs="Arial" w:eastAsia="Arial" w:hAnsi="Arial"/>
                <w:b/>
                <w:bCs/>
                <w:color w:val="107C10"/>
                <w:sz w:val="18"/>
                <w:szCs w:val="18"/>
              </w:rPr>
              <w:t xml:space="preserve">Evaluado</w:t>
            </w:r>
          </w:p>
        </w:tc>
        <w:tc>
          <w:tcPr>
            <w:tcW w:type="dxa" w:w="168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vAlign w:val="center"/>
          </w:tcPr>
          <w:p>
            <w:pPr>
              <w:jc w:val="center"/>
            </w:pPr>
            <w:r>
              <w:rPr>
                <w:rFonts w:ascii="Arial" w:cs="Arial" w:eastAsia="Arial" w:hAnsi="Arial"/>
                <w:sz w:val="18"/>
                <w:szCs w:val="18"/>
              </w:rPr>
              <w:t xml:space="preserve">Baja</w:t>
            </w:r>
          </w:p>
        </w:tc>
      </w:tr>
    </w:tbl>
    <w:p>
      <w:pPr>
        <w:pBdr>
          <w:left w:val="single" w:color="0067B1" w:sz="8"/>
        </w:pBdr>
        <w:spacing w:after="80" w:before="0"/>
        <w:ind w:left="160"/>
      </w:pPr>
      <w:r>
        <w:rPr>
          <w:rFonts w:ascii="Arial" w:cs="Arial" w:eastAsia="Arial" w:hAnsi="Arial"/>
          <w:color w:val="404040"/>
          <w:sz w:val="20"/>
          <w:szCs w:val="20"/>
        </w:rPr>
        <w:t xml:space="preserve">Evalua el prompt antes de enviarlo al LLM. Si coincide con un patron configurado, rechaza la solicitud con HTTP 403 y un mensaje personalizado. Evita que datos sensibles lleguen al proveedor externo.</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b/>
                <w:bCs/>
                <w:color w:val="0067B1"/>
                <w:sz w:val="22"/>
                <w:szCs w:val="22"/>
              </w:rPr>
              <w:t xml:space="preserve">Filtrado en Respuesta (Post-LLM)</w:t>
            </w:r>
          </w:p>
        </w:tc>
        <w:tc>
          <w:tcPr>
            <w:tcW w:type="dxa" w:w="1680"/>
            <w:tcBorders>
              <w:top w:val="single" w:color="CCCCCC" w:sz="1"/>
              <w:left w:val="single" w:color="CCCCCC" w:sz="1"/>
              <w:bottom w:val="single" w:color="CCCCCC" w:sz="1"/>
              <w:right w:val="single" w:color="CCCCCC" w:sz="1"/>
            </w:tcBorders>
            <w:shd w:fill="EAFAEA" w:val="clear"/>
            <w:tcMar>
              <w:top w:type="dxa" w:w="80"/>
              <w:left w:type="dxa" w:w="120"/>
              <w:bottom w:type="dxa" w:w="80"/>
              <w:right w:type="dxa" w:w="120"/>
            </w:tcMar>
            <w:vAlign w:val="center"/>
          </w:tcPr>
          <w:p>
            <w:pPr>
              <w:jc w:val="center"/>
            </w:pPr>
            <w:r>
              <w:rPr>
                <w:rFonts w:ascii="Arial" w:cs="Arial" w:eastAsia="Arial" w:hAnsi="Arial"/>
                <w:b/>
                <w:bCs/>
                <w:color w:val="107C10"/>
                <w:sz w:val="18"/>
                <w:szCs w:val="18"/>
              </w:rPr>
              <w:t xml:space="preserve">Evaluado</w:t>
            </w:r>
          </w:p>
        </w:tc>
        <w:tc>
          <w:tcPr>
            <w:tcW w:type="dxa" w:w="168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vAlign w:val="center"/>
          </w:tcPr>
          <w:p>
            <w:pPr>
              <w:jc w:val="center"/>
            </w:pPr>
            <w:r>
              <w:rPr>
                <w:rFonts w:ascii="Arial" w:cs="Arial" w:eastAsia="Arial" w:hAnsi="Arial"/>
                <w:sz w:val="18"/>
                <w:szCs w:val="18"/>
              </w:rPr>
              <w:t xml:space="preserve">Baja</w:t>
            </w:r>
          </w:p>
        </w:tc>
      </w:tr>
    </w:tbl>
    <w:p>
      <w:pPr>
        <w:pBdr>
          <w:left w:val="single" w:color="0067B1" w:sz="8"/>
        </w:pBdr>
        <w:spacing w:after="80" w:before="0"/>
        <w:ind w:left="160"/>
      </w:pPr>
      <w:r>
        <w:rPr>
          <w:rFonts w:ascii="Arial" w:cs="Arial" w:eastAsia="Arial" w:hAnsi="Arial"/>
          <w:color w:val="404040"/>
          <w:sz w:val="20"/>
          <w:szCs w:val="20"/>
        </w:rPr>
        <w:t xml:space="preserve">Analiza la respuesta generada por el LLM antes de retornarla al cliente. Si encuentra patrones PII, los enmascara con ***. Protege contra filtracion accidental de datos por el modelo.</w:t>
      </w:r>
    </w:p>
    <w:p>
      <w:pPr>
        <w:spacing w:after="60" w:before="60"/>
      </w:pPr>
      <w:r>
        <w:t xml:space="preserve"> </w:t>
      </w:r>
    </w:p>
    <w:p>
      <w:pPr>
        <w:pStyle w:val="Heading2"/>
        <w:spacing w:after="80" w:before="240"/>
      </w:pPr>
      <w:r>
        <w:rPr>
          <w:rFonts w:ascii="Arial" w:cs="Arial" w:eastAsia="Arial" w:hAnsi="Arial"/>
          <w:b/>
          <w:bCs/>
          <w:color w:val="404040"/>
          <w:sz w:val="24"/>
          <w:szCs w:val="24"/>
        </w:rPr>
        <w:t xml:space="preserve">5.3 Patrones de Deteccion Configurados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rPr>
          <w:tblHeader/>
        </w:trPr>
        <w:tc>
          <w:tcPr>
            <w:tcW w:type="dxa" w:w="22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Patron</w:t>
            </w:r>
          </w:p>
        </w:tc>
        <w:tc>
          <w:tcPr>
            <w:tcW w:type="dxa" w:w="22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Ejemplo</w:t>
            </w:r>
          </w:p>
        </w:tc>
        <w:tc>
          <w:tcPr>
            <w:tcW w:type="dxa" w:w="20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Accion en Solicitud</w:t>
            </w:r>
          </w:p>
        </w:tc>
        <w:tc>
          <w:tcPr>
            <w:tcW w:type="dxa" w:w="296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Accion en Respuesta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Tarjeta de credito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4111-1111-1111-1111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REJECT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MASK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Direccion de email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usuario@empresa.com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REJECT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MASK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Prompt Injection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ignore previous instructions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REJECT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Key expuesta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api_key=sk-...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REJECT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r>
    </w:tbl>
    <w:p>
      <w:pPr>
        <w:spacing w:after="60" w:before="60"/>
      </w:pPr>
      <w:r>
        <w:t xml:space="preserve"> </w:t>
      </w:r>
    </w:p>
    <w:p>
      <w:pPr>
        <w:pStyle w:val="Heading1"/>
        <w:pBdr>
          <w:bottom w:val="single" w:color="0067B1" w:sz="4" w:space="4"/>
        </w:pBdr>
        <w:spacing w:after="120" w:before="360"/>
      </w:pPr>
      <w:r>
        <w:rPr>
          <w:rFonts w:ascii="Arial" w:cs="Arial" w:eastAsia="Arial" w:hAnsi="Arial"/>
          <w:b/>
          <w:bCs/>
          <w:color w:val="0067B1"/>
          <w:sz w:val="28"/>
          <w:szCs w:val="28"/>
        </w:rPr>
        <w:t xml:space="preserve">6. Optimizacion de Costos</w:t>
      </w:r>
    </w:p>
    <w:p>
      <w:pPr>
        <w:pStyle w:val="Heading2"/>
        <w:spacing w:after="80" w:before="240"/>
      </w:pPr>
      <w:r>
        <w:rPr>
          <w:rFonts w:ascii="Arial" w:cs="Arial" w:eastAsia="Arial" w:hAnsi="Arial"/>
          <w:b/>
          <w:bCs/>
          <w:color w:val="404040"/>
          <w:sz w:val="24"/>
          <w:szCs w:val="24"/>
        </w:rPr>
        <w:t xml:space="preserve">6.1 Rate Limiting Basado en Tokens</w:t>
      </w:r>
    </w:p>
    <w:p>
      <w:pPr>
        <w:spacing w:after="80" w:before="80"/>
      </w:pPr>
      <w:r>
        <w:rPr>
          <w:rFonts w:ascii="Arial" w:cs="Arial" w:eastAsia="Arial" w:hAnsi="Arial"/>
          <w:sz w:val="22"/>
          <w:szCs w:val="22"/>
        </w:rPr>
        <w:t xml:space="preserve">El rate limiting tradicional (por numero de requests) no refleja el costo real de los LLM. Una solicitud de 10 tokens y una de 10,000 tokens cuentan igual en request count, pero tienen costos radicalmente diferentes. El AI Gateway resuelve esto con rate limits por tokens.</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Tipo de Limite</w:t>
            </w:r>
          </w:p>
        </w:tc>
        <w:tc>
          <w:tcPr>
            <w:tcW w:type="dxa" w:w="22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Unidad</w:t>
            </w:r>
          </w:p>
        </w:tc>
        <w:tc>
          <w:tcPr>
            <w:tcW w:type="dxa" w:w="496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INPUT_TOKENS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Tokens del prompt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Controla el costo de los prompts enviados al LLM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OUTPUT_TOKENS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Tokens de respuesta</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Controla el costo de las respuestas generadas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TOTAL_TOKENS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Input + Output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Limite combinado para presupuesto total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Requests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Numero de llamadas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Rate limiting tradicional (compatible)</w:t>
            </w:r>
          </w:p>
        </w:tc>
      </w:tr>
    </w:tbl>
    <w:p>
      <w:pPr>
        <w:spacing w:after="60" w:before="60"/>
      </w:pPr>
      <w:r>
        <w:t xml:space="preserve"> </w:t>
      </w:r>
    </w:p>
    <w:p>
      <w:pPr>
        <w:pStyle w:val="Heading2"/>
        <w:spacing w:after="80" w:before="240"/>
      </w:pPr>
      <w:r>
        <w:rPr>
          <w:rFonts w:ascii="Arial" w:cs="Arial" w:eastAsia="Arial" w:hAnsi="Arial"/>
          <w:b/>
          <w:bCs/>
          <w:color w:val="404040"/>
          <w:sz w:val="24"/>
          <w:szCs w:val="24"/>
        </w:rPr>
        <w:t xml:space="preserve">6.2 Cache Semantico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CCCCCC" w:sz="1"/>
              <w:left w:val="single" w:color="CCCCCC" w:sz="1"/>
              <w:bottom w:val="single" w:color="CCCCCC" w:sz="1"/>
              <w:right w:val="single" w:color="CCCCCC" w:sz="1"/>
            </w:tcBorders>
            <w:shd w:fill="F0F4F8" w:val="clear"/>
            <w:tcMar>
              <w:top w:type="dxa" w:w="80"/>
              <w:left w:type="dxa" w:w="160"/>
              <w:bottom w:type="dxa" w:w="80"/>
              <w:right w:type="dxa" w:w="120"/>
            </w:tcMar>
          </w:tcPr>
          <w:p>
            <w:r>
              <w:rPr>
                <w:rFonts w:ascii="Arial" w:cs="Arial" w:eastAsia="Arial" w:hAnsi="Arial"/>
                <w:b/>
                <w:bCs/>
                <w:color w:val="0067B1"/>
                <w:sz w:val="22"/>
                <w:szCs w:val="22"/>
              </w:rPr>
              <w:t xml:space="preserve">Ahorro por Cache Semantico</w:t>
            </w:r>
          </w:p>
        </w:tc>
        <w:tc>
          <w:tcPr>
            <w:tcW w:type="dxa" w:w="1680"/>
            <w:tcBorders>
              <w:top w:val="single" w:color="CCCCCC" w:sz="1"/>
              <w:left w:val="single" w:color="CCCCCC" w:sz="1"/>
              <w:bottom w:val="single" w:color="CCCCCC" w:sz="1"/>
              <w:right w:val="single" w:color="CCCCCC" w:sz="1"/>
            </w:tcBorders>
            <w:shd w:fill="EAFAEA" w:val="clear"/>
            <w:tcMar>
              <w:top w:type="dxa" w:w="80"/>
              <w:left w:type="dxa" w:w="120"/>
              <w:bottom w:type="dxa" w:w="80"/>
              <w:right w:type="dxa" w:w="120"/>
            </w:tcMar>
            <w:vAlign w:val="center"/>
          </w:tcPr>
          <w:p>
            <w:pPr>
              <w:jc w:val="center"/>
            </w:pPr>
            <w:r>
              <w:rPr>
                <w:rFonts w:ascii="Arial" w:cs="Arial" w:eastAsia="Arial" w:hAnsi="Arial"/>
                <w:b/>
                <w:bCs/>
                <w:color w:val="107C10"/>
                <w:sz w:val="18"/>
                <w:szCs w:val="18"/>
              </w:rPr>
              <w:t xml:space="preserve">Evaluado</w:t>
            </w:r>
          </w:p>
        </w:tc>
        <w:tc>
          <w:tcPr>
            <w:tcW w:type="dxa" w:w="168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vAlign w:val="center"/>
          </w:tcPr>
          <w:p>
            <w:pPr>
              <w:jc w:val="center"/>
            </w:pPr>
            <w:r>
              <w:rPr>
                <w:rFonts w:ascii="Arial" w:cs="Arial" w:eastAsia="Arial" w:hAnsi="Arial"/>
                <w:sz w:val="18"/>
                <w:szCs w:val="18"/>
              </w:rPr>
              <w:t xml:space="preserve">Media</w:t>
            </w:r>
          </w:p>
        </w:tc>
      </w:tr>
    </w:tbl>
    <w:p>
      <w:pPr>
        <w:pBdr>
          <w:left w:val="single" w:color="0067B1" w:sz="8"/>
        </w:pBdr>
        <w:spacing w:after="80" w:before="0"/>
        <w:ind w:left="160"/>
      </w:pPr>
      <w:r>
        <w:rPr>
          <w:rFonts w:ascii="Arial" w:cs="Arial" w:eastAsia="Arial" w:hAnsi="Arial"/>
          <w:color w:val="404040"/>
          <w:sz w:val="20"/>
          <w:szCs w:val="20"/>
        </w:rPr>
        <w:t xml:space="preserve">Usa embeddings vectoriales para detectar prompts semanticamente similares. Si la similitud supera el umbral (0.92 por defecto), retorna la respuesta cacheada sin llamar al LLM. En casos de uso con preguntas frecuentes (FAQs, soporte), puede eliminar el 40-60% de las llamadas al proveedor.</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Datastore Soportado</w:t>
            </w:r>
          </w:p>
        </w:tc>
        <w:tc>
          <w:tcPr>
            <w:tcW w:type="dxa" w:w="40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Caso de Uso Ideal</w:t>
            </w:r>
          </w:p>
        </w:tc>
        <w:tc>
          <w:tcPr>
            <w:tcW w:type="dxa" w:w="286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Complejidad de Setup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Redis Stack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Alta velocidad, bajo volumen de docs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Baja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Weaviate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Busqueda vectorial avanzada, gran escala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PostgreSQL + pgvector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Reutilizar BD existente con extension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Baja</w:t>
            </w:r>
          </w:p>
        </w:tc>
      </w:tr>
    </w:tbl>
    <w:p>
      <w:pPr>
        <w:spacing w:after="60" w:before="60"/>
      </w:pPr>
      <w:r>
        <w:t xml:space="preserve"> </w:t>
      </w:r>
    </w:p>
    <w:p>
      <w:pPr>
        <w:pStyle w:val="Heading2"/>
        <w:spacing w:after="80" w:before="240"/>
      </w:pPr>
      <w:r>
        <w:rPr>
          <w:rFonts w:ascii="Arial" w:cs="Arial" w:eastAsia="Arial" w:hAnsi="Arial"/>
          <w:b/>
          <w:bCs/>
          <w:color w:val="404040"/>
          <w:sz w:val="24"/>
          <w:szCs w:val="24"/>
        </w:rPr>
        <w:t xml:space="preserve">6.3 Estimacion de Ahorro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rPr>
          <w:tblHeader/>
        </w:trPr>
        <w:tc>
          <w:tcPr>
            <w:tcW w:type="dxa" w:w="25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Escenario</w:t>
            </w:r>
          </w:p>
        </w:tc>
        <w:tc>
          <w:tcPr>
            <w:tcW w:type="dxa" w:w="18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Llamadas/dia</w:t>
            </w:r>
          </w:p>
        </w:tc>
        <w:tc>
          <w:tcPr>
            <w:tcW w:type="dxa" w:w="18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Cache Hit Rate</w:t>
            </w:r>
          </w:p>
        </w:tc>
        <w:tc>
          <w:tcPr>
            <w:tcW w:type="dxa" w:w="326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Ahorro estimado/mes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FAQ interno (soporte)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~$150-300 USD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Asistente tecnico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35%</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~$80-150 USD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Generacion de contenido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~$20-50 USD</w:t>
            </w:r>
          </w:p>
        </w:tc>
      </w:tr>
    </w:tbl>
    <w:p>
      <w:pPr>
        <w:spacing w:after="80" w:before="80"/>
      </w:pPr>
      <w:r>
        <w:rPr>
          <w:rFonts w:ascii="Arial" w:cs="Arial" w:eastAsia="Arial" w:hAnsi="Arial"/>
          <w:i/>
          <w:iCs/>
          <w:color w:val="888888"/>
          <w:sz w:val="22"/>
          <w:szCs w:val="22"/>
        </w:rPr>
        <w:t xml:space="preserve">Estimacion basada en precio promedio de $0.01-0.03 por 1,000 tokens con gpt-4o. Los ahorros reales dependen del patron de uso especifico.</w:t>
      </w:r>
    </w:p>
    <w:p>
      <w:pPr>
        <w:spacing w:after="60" w:before="60"/>
      </w:pPr>
      <w:r>
        <w:t xml:space="preserve"> </w:t>
      </w:r>
    </w:p>
    <w:p>
      <w:pPr>
        <w:pStyle w:val="Heading1"/>
        <w:pBdr>
          <w:bottom w:val="single" w:color="0067B1" w:sz="4" w:space="4"/>
        </w:pBdr>
        <w:spacing w:after="120" w:before="360"/>
      </w:pPr>
      <w:r>
        <w:rPr>
          <w:rFonts w:ascii="Arial" w:cs="Arial" w:eastAsia="Arial" w:hAnsi="Arial"/>
          <w:b/>
          <w:bCs/>
          <w:color w:val="0067B1"/>
          <w:sz w:val="28"/>
          <w:szCs w:val="28"/>
        </w:rPr>
        <w:t xml:space="preserve">7. RAG Integrado en el Gateway</w:t>
      </w:r>
    </w:p>
    <w:p>
      <w:pPr>
        <w:pStyle w:val="Heading2"/>
        <w:spacing w:after="80" w:before="240"/>
      </w:pPr>
      <w:r>
        <w:rPr>
          <w:rFonts w:ascii="Arial" w:cs="Arial" w:eastAsia="Arial" w:hAnsi="Arial"/>
          <w:b/>
          <w:bCs/>
          <w:color w:val="404040"/>
          <w:sz w:val="24"/>
          <w:szCs w:val="24"/>
        </w:rPr>
        <w:t xml:space="preserve">7.1 Diferencia: RAG en la Aplicacion vs RAG en el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RAG en la Aplicacion</w:t>
            </w:r>
          </w:p>
        </w:tc>
        <w:tc>
          <w:tcPr>
            <w:tcW w:type="dxa" w:w="366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RAG en el Gateway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Implementacion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Cada aplicacion implementa su propia logica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Una sola configuracion para todos los clientes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Mantenimiento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 bases de datos vectoriales (una por app)</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Una sola base de conocimiento centralizada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Seguridad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Cada app accede directamente a la BD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 gateway controla el acceso a la BD vectorial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Estandarizacion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Cada equipo puede usar diferentes embeddings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Embeddings y topK estandarizados centralmente</w:t>
            </w:r>
          </w:p>
        </w:tc>
      </w:tr>
    </w:tbl>
    <w:p>
      <w:pPr>
        <w:spacing w:after="60" w:before="60"/>
      </w:pPr>
      <w:r>
        <w:t xml:space="preserve"> </w:t>
      </w:r>
    </w:p>
    <w:p>
      <w:pPr>
        <w:pStyle w:val="Heading2"/>
        <w:spacing w:after="80" w:before="240"/>
      </w:pPr>
      <w:r>
        <w:rPr>
          <w:rFonts w:ascii="Arial" w:cs="Arial" w:eastAsia="Arial" w:hAnsi="Arial"/>
          <w:b/>
          <w:bCs/>
          <w:color w:val="404040"/>
          <w:sz w:val="24"/>
          <w:szCs w:val="24"/>
        </w:rPr>
        <w:t xml:space="preserve">7.2 Proceso de RAG en el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736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Solicitud entrante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 cliente envia un prompt normal sin cambios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 Vectorizacion del 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El gateway genera un embedding del prompt (OpenAI text-embedding-3-small)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Busqueda vectorial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Consulta PostgreSQL pgvector con topK=5 para encontrar fragmentos similares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Enriquecimiento del prompt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Inserta los fragmentos recuperados en el system prompt segun la plantilla configurada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Llamada al LLM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Envia el prompt enriquecido al proveedor LLM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Respuesta al cliente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Retorna la respuesta del LLM (el cliente no ve el enriquecimiento)</w:t>
            </w:r>
          </w:p>
        </w:tc>
      </w:tr>
    </w:tbl>
    <w:p>
      <w:pPr>
        <w:spacing w:after="60" w:before="60"/>
      </w:pPr>
      <w:r>
        <w:t xml:space="preserve"> </w:t>
      </w:r>
    </w:p>
    <w:p>
      <w:pPr>
        <w:pStyle w:val="Heading1"/>
        <w:pBdr>
          <w:bottom w:val="single" w:color="0067B1" w:sz="4" w:space="4"/>
        </w:pBdr>
        <w:spacing w:after="120" w:before="360"/>
      </w:pPr>
      <w:r>
        <w:rPr>
          <w:rFonts w:ascii="Arial" w:cs="Arial" w:eastAsia="Arial" w:hAnsi="Arial"/>
          <w:b/>
          <w:bCs/>
          <w:color w:val="0067B1"/>
          <w:sz w:val="28"/>
          <w:szCs w:val="28"/>
        </w:rPr>
        <w:t xml:space="preserve">8. Observabilidad</w:t>
      </w:r>
    </w:p>
    <w:p>
      <w:pPr>
        <w:pStyle w:val="Heading2"/>
        <w:spacing w:after="80" w:before="240"/>
      </w:pPr>
      <w:r>
        <w:rPr>
          <w:rFonts w:ascii="Arial" w:cs="Arial" w:eastAsia="Arial" w:hAnsi="Arial"/>
          <w:b/>
          <w:bCs/>
          <w:color w:val="404040"/>
          <w:sz w:val="24"/>
          <w:szCs w:val="24"/>
        </w:rPr>
        <w:t xml:space="preserve">8.1 Metricas Especificas de AI</w:t>
      </w:r>
    </w:p>
    <w:p>
      <w:pPr>
        <w:spacing w:after="80" w:before="80"/>
      </w:pPr>
      <w:r>
        <w:rPr>
          <w:rFonts w:ascii="Arial" w:cs="Arial" w:eastAsia="Arial" w:hAnsi="Arial"/>
          <w:sz w:val="22"/>
          <w:szCs w:val="22"/>
        </w:rPr>
        <w:t xml:space="preserve">A diferencia de un API Gateway tradicional que solo captura HTTP status codes y latencia total, el AI Gateway expone metricas especificas del dominio LLM:</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Metrica</w:t>
            </w:r>
          </w:p>
        </w:tc>
        <w:tc>
          <w:tcPr>
            <w:tcW w:type="dxa" w:w="28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c>
          <w:tcPr>
            <w:tcW w:type="dxa" w:w="356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Utilidad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ai_gateway_tokens_input_total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Tokens consumidos en prompts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Control de costos por usuario/equipo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ai_gateway_tokens_output_total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Tokens en respuestas del LLM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Control de costos de generacion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ai_gateway_ttft_ms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Time to First Token (ms)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Experiencia de usuario en streaming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ai_gateway_request_duration_ms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Latencia total incluyendo el LLM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SLA / rendimiento por proveedor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ai_gateway_cache_hit_total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Solicitudes resueltas por el cache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ROI del cache semantico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ai_gateway_cache_miss_total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Solicitudes que llegaron al LLM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Volumen real de consumo del proveedor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ai_gateway_ratelimit_hits_total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Solicitudes bloqueadas por rate limit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Deteccion de abuso o misconfiguracion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ai_gateway_prompt_guard_rejections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Prompts bloqueados por guardias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Eficacia de los controles de seguridad</w:t>
            </w:r>
          </w:p>
        </w:tc>
      </w:tr>
    </w:tbl>
    <w:p>
      <w:pPr>
        <w:spacing w:after="60" w:before="60"/>
      </w:pPr>
      <w:r>
        <w:t xml:space="preserve"> </w:t>
      </w:r>
    </w:p>
    <w:p>
      <w:pPr>
        <w:pStyle w:val="Heading2"/>
        <w:spacing w:after="80" w:before="240"/>
      </w:pPr>
      <w:r>
        <w:rPr>
          <w:rFonts w:ascii="Arial" w:cs="Arial" w:eastAsia="Arial" w:hAnsi="Arial"/>
          <w:b/>
          <w:bCs/>
          <w:color w:val="404040"/>
          <w:sz w:val="24"/>
          <w:szCs w:val="24"/>
        </w:rPr>
        <w:t xml:space="preserve">8.2 Stack de Observabilidad Recomendado</w:t>
      </w:r>
    </w:p>
    <w:p>
      <w:pPr>
        <w:pStyle w:val="ListParagraph"/>
        <w:numPr>
          <w:ilvl w:val="0"/>
          <w:numId w:val="2"/>
        </w:numPr>
        <w:spacing w:after="40" w:before="40"/>
      </w:pPr>
      <w:r>
        <w:rPr>
          <w:rFonts w:ascii="Arial" w:cs="Arial" w:eastAsia="Arial" w:hAnsi="Arial"/>
          <w:sz w:val="22"/>
          <w:szCs w:val="22"/>
        </w:rPr>
        <w:t xml:space="preserve">OpenTelemetry Collector — agregacion y exportacion centralizada de metricas, trazas y logs</w:t>
      </w:r>
    </w:p>
    <w:p>
      <w:pPr>
        <w:pStyle w:val="ListParagraph"/>
        <w:numPr>
          <w:ilvl w:val="0"/>
          <w:numId w:val="2"/>
        </w:numPr>
        <w:spacing w:after="40" w:before="40"/>
      </w:pPr>
      <w:r>
        <w:rPr>
          <w:rFonts w:ascii="Arial" w:cs="Arial" w:eastAsia="Arial" w:hAnsi="Arial"/>
          <w:sz w:val="22"/>
          <w:szCs w:val="22"/>
        </w:rPr>
        <w:t xml:space="preserve">Prometheus — almacenamiento de series temporales para metricas</w:t>
      </w:r>
    </w:p>
    <w:p>
      <w:pPr>
        <w:pStyle w:val="ListParagraph"/>
        <w:numPr>
          <w:ilvl w:val="0"/>
          <w:numId w:val="2"/>
        </w:numPr>
        <w:spacing w:after="40" w:before="40"/>
      </w:pPr>
      <w:r>
        <w:rPr>
          <w:rFonts w:ascii="Arial" w:cs="Arial" w:eastAsia="Arial" w:hAnsi="Arial"/>
          <w:sz w:val="22"/>
          <w:szCs w:val="22"/>
        </w:rPr>
        <w:t xml:space="preserve">Grafana — visualizacion con dashboards pre-construidos para AI workloads</w:t>
      </w:r>
    </w:p>
    <w:p>
      <w:pPr>
        <w:pStyle w:val="ListParagraph"/>
        <w:numPr>
          <w:ilvl w:val="0"/>
          <w:numId w:val="2"/>
        </w:numPr>
        <w:spacing w:after="40" w:before="40"/>
      </w:pPr>
      <w:r>
        <w:rPr>
          <w:rFonts w:ascii="Arial" w:cs="Arial" w:eastAsia="Arial" w:hAnsi="Arial"/>
          <w:sz w:val="22"/>
          <w:szCs w:val="22"/>
        </w:rPr>
        <w:t xml:space="preserve">Jaeger / Tempo — trazas distribuidas para debugging de latencia</w:t>
      </w:r>
    </w:p>
    <w:p>
      <w:pPr>
        <w:spacing w:after="60" w:before="60"/>
      </w:pPr>
      <w:r>
        <w:t xml:space="preserve"> </w:t>
      </w:r>
    </w:p>
    <w:p>
      <w:pPr>
        <w:pStyle w:val="Heading1"/>
        <w:pBdr>
          <w:bottom w:val="single" w:color="0067B1" w:sz="4" w:space="4"/>
        </w:pBdr>
        <w:spacing w:after="120" w:before="360"/>
      </w:pPr>
      <w:r>
        <w:rPr>
          <w:rFonts w:ascii="Arial" w:cs="Arial" w:eastAsia="Arial" w:hAnsi="Arial"/>
          <w:b/>
          <w:bCs/>
          <w:color w:val="0067B1"/>
          <w:sz w:val="28"/>
          <w:szCs w:val="28"/>
        </w:rPr>
        <w:t xml:space="preserve">9. Model Context Protocol (MCP)</w:t>
      </w:r>
    </w:p>
    <w:p>
      <w:pPr>
        <w:pStyle w:val="Heading2"/>
        <w:spacing w:after="80" w:before="240"/>
      </w:pPr>
      <w:r>
        <w:rPr>
          <w:rFonts w:ascii="Arial" w:cs="Arial" w:eastAsia="Arial" w:hAnsi="Arial"/>
          <w:b/>
          <w:bCs/>
          <w:color w:val="404040"/>
          <w:sz w:val="24"/>
          <w:szCs w:val="24"/>
        </w:rPr>
        <w:t xml:space="preserve">9.1 Que es MCP</w:t>
      </w:r>
    </w:p>
    <w:p>
      <w:pPr>
        <w:spacing w:after="80" w:before="80"/>
      </w:pPr>
      <w:r>
        <w:rPr>
          <w:rFonts w:ascii="Arial" w:cs="Arial" w:eastAsia="Arial" w:hAnsi="Arial"/>
          <w:sz w:val="22"/>
          <w:szCs w:val="22"/>
        </w:rPr>
        <w:t xml:space="preserve">Model Context Protocol es un protocolo emergente (promovido por Anthropic y adoptado por la industria) para la comunicacion estandarizada entre agentes AI, herramientas y recursos. El AI Gateway de Solo.io tiene soporte nativo para actuar como proxy MCP.</w:t>
      </w:r>
    </w:p>
    <w:p>
      <w:pPr>
        <w:spacing w:after="60" w:before="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Tipo de MCP</w:t>
            </w:r>
          </w:p>
        </w:tc>
        <w:tc>
          <w:tcPr>
            <w:tcW w:type="dxa" w:w="38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c>
          <w:tcPr>
            <w:tcW w:type="dxa" w:w="336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Caso de Uso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MCP Estatico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Herramientas registradas estaticamente en el gateway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Integraciones fijas: bases de datos, APIs internas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MCP Dinamico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Herramientas descubiertas dinamicamente en runtime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Ecosistemas de agentes autonomos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MCP sobre HTTPS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MCP accesible desde fuera del cluster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Agentes externos que consumen herramientas internas</w:t>
            </w:r>
          </w:p>
        </w:tc>
      </w:tr>
    </w:tbl>
    <w:p>
      <w:pPr>
        <w:spacing w:after="60" w:before="60"/>
      </w:pPr>
      <w:r>
        <w:t xml:space="preserve"> </w:t>
      </w:r>
    </w:p>
    <w:p>
      <w:pPr>
        <w:pStyle w:val="Heading1"/>
        <w:pBdr>
          <w:bottom w:val="single" w:color="0067B1" w:sz="4" w:space="4"/>
        </w:pBdr>
        <w:spacing w:after="120" w:before="360"/>
      </w:pPr>
      <w:r>
        <w:rPr>
          <w:rFonts w:ascii="Arial" w:cs="Arial" w:eastAsia="Arial" w:hAnsi="Arial"/>
          <w:b/>
          <w:bCs/>
          <w:color w:val="0067B1"/>
          <w:sz w:val="28"/>
          <w:szCs w:val="28"/>
        </w:rPr>
        <w:t xml:space="preserve">10. Limitaciones y Consideraciones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Limitacion</w:t>
            </w:r>
          </w:p>
        </w:tc>
        <w:tc>
          <w:tcPr>
            <w:tcW w:type="dxa" w:w="28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Impacto</w:t>
            </w:r>
          </w:p>
        </w:tc>
        <w:tc>
          <w:tcPr>
            <w:tcW w:type="dxa" w:w="376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Mitigacion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Licencia Enterprise requerida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Costo de licenciamiento por nodo/cluster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Evaluar ROI vs control de costos LLM obtenido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Kubernetes requerido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aplicable en entornos on-premise sin K8s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Considerar k3s o Kind para entornos menores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RAG no soportado en Gemini/Vertex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Limitacion de la version 2.2.0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Usar RAG en la aplicacion para estos proveedores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Redis Stack (no OSS)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Imagen mas pesada (~500MB vs ~50MB)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Aceptable para produccion; usar OSS para dev</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Latencia adicional por filtros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+2-5ms por cada filtro AI activado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Aceptable para LLMs con latencias de 500ms-5s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Documentacion en ingles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Curva de aprendizaje para el equipo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Este documento cubre los casos principales</w:t>
            </w:r>
          </w:p>
        </w:tc>
      </w:tr>
    </w:tbl>
    <w:p>
      <w:pPr>
        <w:spacing w:after="60" w:before="60"/>
      </w:pPr>
      <w:r>
        <w:t xml:space="preserve"> </w:t>
      </w:r>
    </w:p>
    <w:p>
      <w:pPr>
        <w:pStyle w:val="Heading1"/>
        <w:pBdr>
          <w:bottom w:val="single" w:color="0067B1" w:sz="4" w:space="4"/>
        </w:pBdr>
        <w:spacing w:after="120" w:before="360"/>
      </w:pPr>
      <w:r>
        <w:rPr>
          <w:rFonts w:ascii="Arial" w:cs="Arial" w:eastAsia="Arial" w:hAnsi="Arial"/>
          <w:b/>
          <w:bCs/>
          <w:color w:val="0067B1"/>
          <w:sz w:val="28"/>
          <w:szCs w:val="28"/>
        </w:rPr>
        <w:t xml:space="preserve">11. Comparativa con Alternativas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rPr>
          <w:tblHeader/>
        </w:trPr>
        <w:tc>
          <w:tcPr>
            <w:tcW w:type="dxa" w:w="20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8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Solo.io kgateway</w:t>
            </w:r>
          </w:p>
        </w:tc>
        <w:tc>
          <w:tcPr>
            <w:tcW w:type="dxa" w:w="18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Kong AI GW</w:t>
            </w:r>
          </w:p>
        </w:tc>
        <w:tc>
          <w:tcPr>
            <w:tcW w:type="dxa" w:w="180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AWS API GW + Bedrock</w:t>
            </w:r>
          </w:p>
        </w:tc>
        <w:tc>
          <w:tcPr>
            <w:tcW w:type="dxa" w:w="1960"/>
            <w:tcBorders>
              <w:top w:val="single" w:color="CCCCCC" w:sz="1"/>
              <w:left w:val="single" w:color="CCCCCC" w:sz="1"/>
              <w:bottom w:val="single" w:color="CCCCCC" w:sz="1"/>
              <w:right w:val="single" w:color="CCCCCC" w:sz="1"/>
            </w:tcBorders>
            <w:shd w:fill="0067B1" w:val="clear"/>
            <w:tcMar>
              <w:top w:type="dxa" w:w="80"/>
              <w:left w:type="dxa" w:w="120"/>
              <w:bottom w:type="dxa" w:w="80"/>
              <w:right w:type="dxa" w:w="120"/>
            </w:tcMar>
          </w:tcPr>
          <w:p>
            <w:r>
              <w:rPr>
                <w:rFonts w:ascii="Arial" w:cs="Arial" w:eastAsia="Arial" w:hAnsi="Arial"/>
                <w:b/>
                <w:bCs/>
                <w:color w:val="FFFFFF"/>
                <w:sz w:val="20"/>
                <w:szCs w:val="20"/>
              </w:rPr>
              <w:t xml:space="preserve">Apigee AI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Proveedores LLM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 (todos principales)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(OpenAI, Azure...)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Solo AWS Bedrock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 (via plugins)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Cache Semantico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 (nativo)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 (plugin)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nativo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83B01"/>
                <w:sz w:val="20"/>
                <w:szCs w:val="20"/>
              </w:rPr>
              <w:t xml:space="preserve">Parcial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RAG integrado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 (PostgreSQL, Weaviate)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nativo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Rate Limit Tokens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 (nativo)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 (plugin)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 (nativo AWS)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83B01"/>
                <w:sz w:val="20"/>
                <w:szCs w:val="20"/>
              </w:rPr>
              <w:t xml:space="preserve">Parcial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MCP Support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07C10"/>
                <w:sz w:val="20"/>
                <w:szCs w:val="20"/>
              </w:rPr>
              <w:t xml:space="preserve">Si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No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Kubernetes-native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 (Gateway API)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07C10"/>
                <w:sz w:val="20"/>
                <w:szCs w:val="20"/>
              </w:rPr>
              <w:t xml:space="preserve">Si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No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 Source base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 (kgateway)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 (Kong OSS)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No</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Licencia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Enterprise (de pago)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Enterprise o gratis OSS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Pay-per-use AWS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GCP Enterprise</w:t>
            </w:r>
          </w:p>
        </w:tc>
      </w:tr>
    </w:tbl>
    <w:p>
      <w:pPr>
        <w:spacing w:after="60" w:before="60"/>
      </w:pPr>
      <w:r>
        <w:t xml:space="preserve"> </w:t>
      </w:r>
    </w:p>
    <w:p>
      <w:pPr>
        <w:spacing w:after="80" w:before="80"/>
      </w:pPr>
      <w:r>
        <w:rPr>
          <w:rFonts w:ascii="Arial" w:cs="Arial" w:eastAsia="Arial" w:hAnsi="Arial"/>
          <w:b/>
          <w:bCs/>
          <w:color w:val="0067B1"/>
          <w:sz w:val="22"/>
          <w:szCs w:val="22"/>
        </w:rPr>
        <w:t xml:space="preserve">Ventaja diferencial de Solo.io: unico con RAG nativo, MCP support y semantica de tokens en rate limiting sin plugins adicionales.</w:t>
      </w:r>
    </w:p>
    <w:p>
      <w:pPr>
        <w:spacing w:after="60" w:before="60"/>
      </w:pPr>
      <w:r>
        <w:t xml:space="preserve"> </w:t>
      </w:r>
    </w:p>
    <w:p>
      <w:pPr>
        <w:pStyle w:val="Heading1"/>
        <w:pBdr>
          <w:bottom w:val="single" w:color="0067B1" w:sz="4" w:space="4"/>
        </w:pBdr>
        <w:spacing w:after="120" w:before="360"/>
      </w:pPr>
      <w:r>
        <w:rPr>
          <w:rFonts w:ascii="Arial" w:cs="Arial" w:eastAsia="Arial" w:hAnsi="Arial"/>
          <w:b/>
          <w:bCs/>
          <w:color w:val="0067B1"/>
          <w:sz w:val="28"/>
          <w:szCs w:val="28"/>
        </w:rPr>
        <w:t xml:space="preserve">12. Referencias</w:t>
      </w:r>
    </w:p>
    <w:p>
      <w:pPr>
        <w:spacing w:after="40" w:before="80"/>
      </w:pPr>
      <w:hyperlink w:history="1" r:id="rIdxcrjntmbu5jhye2xwbphj">
        <w:r>
          <w:rPr>
            <w:rStyle w:val="Hyperlink"/>
            <w:rFonts w:ascii="Arial" w:cs="Arial" w:eastAsia="Arial" w:hAnsi="Arial"/>
            <w:sz w:val="22"/>
            <w:szCs w:val="22"/>
          </w:rPr>
          <w:t xml:space="preserve">Documentacion oficial Solo.io AI Gateway</w:t>
        </w:r>
      </w:hyperlink>
    </w:p>
    <w:p>
      <w:pPr>
        <w:spacing w:after="40" w:before="40"/>
      </w:pPr>
      <w:hyperlink w:history="1" r:id="rIdyq66fppmkqjvv_zep2y6w">
        <w:r>
          <w:rPr>
            <w:rStyle w:val="Hyperlink"/>
            <w:rFonts w:ascii="Arial" w:cs="Arial" w:eastAsia="Arial" w:hAnsi="Arial"/>
            <w:sz w:val="22"/>
            <w:szCs w:val="22"/>
          </w:rPr>
          <w:t xml:space="preserve">Kubernetes Gateway API (CNCF)</w:t>
        </w:r>
      </w:hyperlink>
    </w:p>
    <w:p>
      <w:pPr>
        <w:spacing w:after="40" w:before="40"/>
      </w:pPr>
      <w:hyperlink w:history="1" r:id="rIdjuomc5oyd2ma6wlbh2dvt">
        <w:r>
          <w:rPr>
            <w:rStyle w:val="Hyperlink"/>
            <w:rFonts w:ascii="Arial" w:cs="Arial" w:eastAsia="Arial" w:hAnsi="Arial"/>
            <w:sz w:val="22"/>
            <w:szCs w:val="22"/>
          </w:rPr>
          <w:t xml:space="preserve">kgateway (open source) en GitHub</w:t>
        </w:r>
      </w:hyperlink>
    </w:p>
    <w:p>
      <w:pPr>
        <w:spacing w:after="40" w:before="40"/>
      </w:pPr>
      <w:hyperlink w:history="1" r:id="rIdu85bxrmo7d4jxdjggdmdy">
        <w:r>
          <w:rPr>
            <w:rStyle w:val="Hyperlink"/>
            <w:rFonts w:ascii="Arial" w:cs="Arial" w:eastAsia="Arial" w:hAnsi="Arial"/>
            <w:sz w:val="22"/>
            <w:szCs w:val="22"/>
          </w:rPr>
          <w:t xml:space="preserve">Model Context Protocol (Anthropic)</w:t>
        </w:r>
      </w:hyperlink>
    </w:p>
    <w:p>
      <w:pPr>
        <w:spacing w:after="80" w:before="40"/>
      </w:pPr>
      <w:hyperlink w:history="1" r:id="rIdvq1jtru9pg39vfuxsorah">
        <w:r>
          <w:rPr>
            <w:rStyle w:val="Hyperlink"/>
            <w:rFonts w:ascii="Arial" w:cs="Arial" w:eastAsia="Arial" w:hAnsi="Arial"/>
            <w:sz w:val="22"/>
            <w:szCs w:val="22"/>
          </w:rPr>
          <w:t xml:space="preserve">Trial Enterprise Solo.io (30 dias gratis)</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7B1" w:sz="4" w:space="4"/>
      </w:pBdr>
      <w:jc w:val="right"/>
    </w:pPr>
    <w:r>
      <w:rPr>
        <w:rFonts w:ascii="Arial" w:cs="Arial" w:eastAsia="Arial" w:hAnsi="Arial"/>
        <w:color w:val="666666"/>
        <w:sz w:val="18"/>
        <w:szCs w:val="18"/>
      </w:rPr>
      <w:t xml:space="preserve">Pagina </w:t>
    </w:r>
    <w:r>
      <w:rPr>
        <w:rFonts w:ascii="Arial" w:cs="Arial" w:eastAsia="Arial" w:hAnsi="Arial"/>
        <w:color w:val="0067B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7B1" w:sz="4" w:space="4"/>
      </w:pBdr>
    </w:pPr>
    <w:r>
      <w:rPr>
        <w:rFonts w:ascii="Arial" w:cs="Arial" w:eastAsia="Arial" w:hAnsi="Arial"/>
        <w:b/>
        <w:bCs/>
        <w:color w:val="0067B1"/>
        <w:sz w:val="22"/>
        <w:szCs w:val="22"/>
      </w:rPr>
      <w:t xml:space="preserve">NTT DATA</w:t>
    </w:r>
    <w:r>
      <w:rPr>
        <w:rFonts w:ascii="Arial" w:cs="Arial" w:eastAsia="Arial" w:hAnsi="Arial"/>
        <w:color w:val="666666"/>
        <w:sz w:val="20"/>
        <w:szCs w:val="20"/>
      </w:rPr>
      <w:t xml:space="preserve">  |  Capacidades del AI Gateway — Solo.io Enterprise kgateway  |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67B1"/>
      <w:sz w:val="28"/>
      <w:szCs w:val="28"/>
    </w:rPr>
  </w:style>
  <w:style w:type="paragraph" w:styleId="Heading2">
    <w:name w:val="Heading 2"/>
    <w:basedOn w:val="Normal"/>
    <w:next w:val="Normal"/>
    <w:qFormat/>
    <w:pPr>
      <w:spacing w:after="80" w:before="240"/>
      <w:outlineLvl w:val="1"/>
    </w:pPr>
    <w:rPr>
      <w:rFonts w:ascii="Arial" w:cs="Arial" w:eastAsia="Arial" w:hAnsi="Arial"/>
      <w:b/>
      <w:bCs/>
      <w:color w:val="404040"/>
      <w:sz w:val="24"/>
      <w:szCs w:val="24"/>
    </w:rPr>
  </w:style>
  <w:style w:type="paragraph" w:styleId="Heading3">
    <w:name w:val="Heading 3"/>
    <w:basedOn w:val="Normal"/>
    <w:next w:val="Normal"/>
    <w:qFormat/>
    <w:pPr>
      <w:spacing w:after="6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crjntmbu5jhye2xwbphj" Type="http://schemas.openxmlformats.org/officeDocument/2006/relationships/hyperlink" Target="https://docs.solo.io/gateway/latest/ai/" TargetMode="External"/><Relationship Id="rIdyq66fppmkqjvv_zep2y6w" Type="http://schemas.openxmlformats.org/officeDocument/2006/relationships/hyperlink" Target="https://gateway-api.sigs.k8s.io/" TargetMode="External"/><Relationship Id="rIdjuomc5oyd2ma6wlbh2dvt" Type="http://schemas.openxmlformats.org/officeDocument/2006/relationships/hyperlink" Target="https://github.com/kgateway-dev/kgateway" TargetMode="External"/><Relationship Id="rIdu85bxrmo7d4jxdjggdmdy" Type="http://schemas.openxmlformats.org/officeDocument/2006/relationships/hyperlink" Target="https://modelcontextprotocol.io/" TargetMode="External"/><Relationship Id="rIdvq1jtru9pg39vfuxsorah" Type="http://schemas.openxmlformats.org/officeDocument/2006/relationships/hyperlink" Target="https://www.solo.io/free-trial"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2026-04-21T16:46:00.484Z</dcterms:created>
  <dcterms:modified xsi:type="dcterms:W3CDTF">2026-04-21T16:46:00.494Z</dcterms:modified>
</cp:coreProperties>
</file>

<file path=docProps/custom.xml><?xml version="1.0" encoding="utf-8"?>
<Properties xmlns="http://schemas.openxmlformats.org/officeDocument/2006/custom-properties" xmlns:vt="http://schemas.openxmlformats.org/officeDocument/2006/docPropsVTypes"/>
</file>