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76083" w14:textId="27B1EAA0" w:rsidR="00BF2D99" w:rsidRPr="009C71F7" w:rsidRDefault="009C71F7" w:rsidP="009C71F7">
      <w:pPr>
        <w:jc w:val="both"/>
        <w:rPr>
          <w:rFonts w:ascii="CMR10" w:hAnsi="CMR10" w:cs="CMR10"/>
          <w:b/>
          <w:bCs/>
          <w:sz w:val="22"/>
          <w:u w:val="single"/>
        </w:rPr>
      </w:pPr>
      <w:r w:rsidRPr="009C71F7">
        <w:rPr>
          <w:rFonts w:ascii="CMR10" w:hAnsi="CMR10" w:cs="CMR10"/>
          <w:b/>
          <w:bCs/>
          <w:sz w:val="22"/>
          <w:u w:val="single"/>
        </w:rPr>
        <w:t>¿</w:t>
      </w:r>
      <w:r>
        <w:rPr>
          <w:rFonts w:ascii="CMR10" w:hAnsi="CMR10" w:cs="CMR10"/>
          <w:b/>
          <w:bCs/>
          <w:sz w:val="22"/>
          <w:u w:val="single"/>
        </w:rPr>
        <w:t>E</w:t>
      </w:r>
      <w:r w:rsidRPr="009C71F7">
        <w:rPr>
          <w:rFonts w:ascii="CMR10" w:hAnsi="CMR10" w:cs="CMR10"/>
          <w:b/>
          <w:bCs/>
          <w:sz w:val="22"/>
          <w:u w:val="single"/>
        </w:rPr>
        <w:t>n que consiste el espacio de color HSV</w:t>
      </w:r>
      <w:r w:rsidRPr="009C71F7">
        <w:rPr>
          <w:rFonts w:ascii="CMR10" w:hAnsi="CMR10" w:cs="CMR10"/>
          <w:b/>
          <w:bCs/>
          <w:sz w:val="22"/>
          <w:u w:val="single"/>
        </w:rPr>
        <w:t>?</w:t>
      </w:r>
    </w:p>
    <w:p w14:paraId="0CA06EAD" w14:textId="12BBEB95" w:rsidR="009C71F7" w:rsidRDefault="009C71F7" w:rsidP="009C71F7">
      <w:pPr>
        <w:jc w:val="both"/>
        <w:rPr>
          <w:rFonts w:ascii="Helvetica" w:hAnsi="Helvetica"/>
          <w:color w:val="001133"/>
          <w:sz w:val="23"/>
          <w:szCs w:val="23"/>
          <w:shd w:val="clear" w:color="auto" w:fill="FFFFFF"/>
        </w:rPr>
      </w:pP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Representación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tridimensional del color basado en los componentes de 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tinte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, 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matiz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 o 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tonalidad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 (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hue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,en </w:t>
      </w:r>
      <w:hyperlink r:id="rId5" w:tooltip="Inglés" w:history="1">
        <w:r>
          <w:rPr>
            <w:rStyle w:val="Hipervnculo"/>
            <w:rFonts w:ascii="Helvetica" w:hAnsi="Helvetica"/>
            <w:color w:val="006699"/>
            <w:sz w:val="23"/>
            <w:szCs w:val="23"/>
            <w:shd w:val="clear" w:color="auto" w:fill="FFFFFF"/>
          </w:rPr>
          <w:t>inglés</w:t>
        </w:r>
      </w:hyperlink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), 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saturación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 (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saturation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)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brillo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 o 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valor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 (</w:t>
      </w:r>
      <w:r>
        <w:rPr>
          <w:rFonts w:ascii="Helvetica" w:hAnsi="Helvetica"/>
          <w:i/>
          <w:iCs/>
          <w:color w:val="001133"/>
          <w:sz w:val="23"/>
          <w:szCs w:val="23"/>
          <w:shd w:val="clear" w:color="auto" w:fill="FFFFFF"/>
        </w:rPr>
        <w:t>value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).</w:t>
      </w:r>
    </w:p>
    <w:p w14:paraId="69A6B465" w14:textId="77777777" w:rsidR="009C71F7" w:rsidRDefault="009C71F7" w:rsidP="009C71F7">
      <w:pPr>
        <w:shd w:val="clear" w:color="auto" w:fill="FFFFFF"/>
        <w:spacing w:before="216" w:after="192" w:line="240" w:lineRule="auto"/>
        <w:jc w:val="both"/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</w:pPr>
    </w:p>
    <w:p w14:paraId="4CCF6BCB" w14:textId="73807864" w:rsidR="009C71F7" w:rsidRDefault="009C71F7" w:rsidP="009C71F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bCs/>
          <w:sz w:val="22"/>
          <w:u w:val="single"/>
        </w:rPr>
      </w:pPr>
      <w:r w:rsidRPr="009C71F7">
        <w:rPr>
          <w:rFonts w:ascii="CMR10" w:hAnsi="CMR10" w:cs="CMR10"/>
          <w:b/>
          <w:bCs/>
          <w:sz w:val="22"/>
          <w:u w:val="single"/>
        </w:rPr>
        <w:t>¿</w:t>
      </w:r>
      <w:r>
        <w:rPr>
          <w:rFonts w:ascii="CMR10" w:hAnsi="CMR10" w:cs="CMR10"/>
          <w:b/>
          <w:bCs/>
          <w:sz w:val="22"/>
          <w:u w:val="single"/>
        </w:rPr>
        <w:t>C</w:t>
      </w:r>
      <w:r w:rsidRPr="009C71F7">
        <w:rPr>
          <w:rFonts w:ascii="CMR10" w:hAnsi="CMR10" w:cs="CMR10"/>
          <w:b/>
          <w:bCs/>
          <w:sz w:val="22"/>
          <w:u w:val="single"/>
        </w:rPr>
        <w:t>ómo</w:t>
      </w:r>
      <w:r w:rsidRPr="009C71F7">
        <w:rPr>
          <w:rFonts w:ascii="CMR10" w:hAnsi="CMR10" w:cs="CMR10"/>
          <w:b/>
          <w:bCs/>
          <w:sz w:val="22"/>
          <w:u w:val="single"/>
        </w:rPr>
        <w:t xml:space="preserve"> se mapean colores a dicho especio?</w:t>
      </w:r>
    </w:p>
    <w:p w14:paraId="585A3921" w14:textId="3B63791C" w:rsidR="009C71F7" w:rsidRPr="009C71F7" w:rsidRDefault="009C71F7" w:rsidP="009C71F7">
      <w:pPr>
        <w:shd w:val="clear" w:color="auto" w:fill="FFFFFF"/>
        <w:spacing w:before="216" w:after="192" w:line="240" w:lineRule="auto"/>
        <w:jc w:val="both"/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</w:pPr>
      <w:r w:rsidRPr="009C71F7"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  <w:t>El modelo de color HSV es una transformación no lineal del modelo RGB en </w:t>
      </w:r>
      <w:hyperlink r:id="rId6" w:tooltip="Coordenadas cilíndricas" w:history="1">
        <w:r w:rsidRPr="009C71F7">
          <w:rPr>
            <w:rFonts w:ascii="Helvetica" w:eastAsia="Times New Roman" w:hAnsi="Helvetica" w:cs="Times New Roman"/>
            <w:color w:val="006699"/>
            <w:sz w:val="23"/>
            <w:szCs w:val="23"/>
            <w:u w:val="single"/>
            <w:lang w:eastAsia="es-GT"/>
          </w:rPr>
          <w:t>coordenadas cilíndricas</w:t>
        </w:r>
      </w:hyperlink>
      <w:r w:rsidRPr="009C71F7"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  <w:t> de manera que cada color viene definido por las siguientes dimensiones:</w:t>
      </w:r>
    </w:p>
    <w:p w14:paraId="184E9CC7" w14:textId="77777777" w:rsidR="009C71F7" w:rsidRPr="009C71F7" w:rsidRDefault="009C71F7" w:rsidP="009C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</w:pPr>
      <w:r w:rsidRPr="009C71F7"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  <w:t>Tinte o matiz: Ángulo que representa el matiz, normalmente definido entre 0</w:t>
      </w:r>
      <w:r w:rsidRPr="009C71F7">
        <w:rPr>
          <w:rFonts w:ascii="Helvetica" w:eastAsia="Times New Roman" w:hAnsi="Helvetica" w:cs="Times New Roman"/>
          <w:color w:val="001133"/>
          <w:sz w:val="17"/>
          <w:szCs w:val="17"/>
          <w:vertAlign w:val="superscript"/>
          <w:lang w:eastAsia="es-GT"/>
        </w:rPr>
        <w:t>o</w:t>
      </w:r>
      <w:r w:rsidRPr="009C71F7"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  <w:t> y 360</w:t>
      </w:r>
      <w:r w:rsidRPr="009C71F7">
        <w:rPr>
          <w:rFonts w:ascii="Helvetica" w:eastAsia="Times New Roman" w:hAnsi="Helvetica" w:cs="Times New Roman"/>
          <w:color w:val="001133"/>
          <w:sz w:val="17"/>
          <w:szCs w:val="17"/>
          <w:vertAlign w:val="superscript"/>
          <w:lang w:eastAsia="es-GT"/>
        </w:rPr>
        <w:t>o</w:t>
      </w:r>
      <w:r w:rsidRPr="009C71F7"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  <w:t>.</w:t>
      </w:r>
    </w:p>
    <w:p w14:paraId="1AE14674" w14:textId="77777777" w:rsidR="009C71F7" w:rsidRPr="009C71F7" w:rsidRDefault="009C71F7" w:rsidP="009C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</w:pPr>
      <w:r w:rsidRPr="009C71F7"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  <w:t>Saturación: Nivel saturación del color, dado entre 0 y 1, 0 representa sin saturación alguna (blanco), hasta 1 que sería el matiz en toda su intensidad. Es común también darlo en percentiles 0%-100%.</w:t>
      </w:r>
    </w:p>
    <w:p w14:paraId="4F58808B" w14:textId="77777777" w:rsidR="009C71F7" w:rsidRPr="009C71F7" w:rsidRDefault="009C71F7" w:rsidP="009C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</w:pPr>
      <w:r w:rsidRPr="009C71F7">
        <w:rPr>
          <w:rFonts w:ascii="Helvetica" w:eastAsia="Times New Roman" w:hAnsi="Helvetica" w:cs="Times New Roman"/>
          <w:color w:val="001133"/>
          <w:sz w:val="23"/>
          <w:szCs w:val="23"/>
          <w:lang w:eastAsia="es-GT"/>
        </w:rPr>
        <w:t>Brillo: Nivel del brillo entre 0 y 1. 0 es negro; 1, blanco. Al igual que la saturación puede darse en porcientos entre 0% y 100%. De esta forma el 50% indica el nivel medio o normal del brillo del color.</w:t>
      </w:r>
    </w:p>
    <w:p w14:paraId="0789D691" w14:textId="352F2B24" w:rsidR="009C71F7" w:rsidRPr="009C71F7" w:rsidRDefault="009C71F7" w:rsidP="009C71F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bCs/>
          <w:sz w:val="22"/>
          <w:u w:val="single"/>
        </w:rPr>
      </w:pPr>
      <w:bookmarkStart w:id="0" w:name="_GoBack"/>
      <w:bookmarkEnd w:id="0"/>
      <w:r w:rsidRPr="009C71F7">
        <w:rPr>
          <w:rFonts w:ascii="CMR10" w:hAnsi="CMR10" w:cs="CMR10"/>
          <w:b/>
          <w:bCs/>
          <w:sz w:val="22"/>
          <w:u w:val="single"/>
        </w:rPr>
        <w:t xml:space="preserve">Referencias: </w:t>
      </w:r>
    </w:p>
    <w:p w14:paraId="6D96DDD7" w14:textId="7BA83C68" w:rsidR="009C71F7" w:rsidRDefault="009C71F7" w:rsidP="009C71F7">
      <w:pPr>
        <w:autoSpaceDE w:val="0"/>
        <w:autoSpaceDN w:val="0"/>
        <w:adjustRightInd w:val="0"/>
        <w:spacing w:after="0" w:line="240" w:lineRule="auto"/>
        <w:jc w:val="both"/>
      </w:pPr>
      <w:hyperlink r:id="rId7" w:history="1">
        <w:r>
          <w:rPr>
            <w:rStyle w:val="Hipervnculo"/>
          </w:rPr>
          <w:t>https://www.ecured.cu/Modelo_HSV</w:t>
        </w:r>
      </w:hyperlink>
    </w:p>
    <w:p w14:paraId="00224B5C" w14:textId="77777777" w:rsidR="009C71F7" w:rsidRPr="009C71F7" w:rsidRDefault="009C71F7" w:rsidP="009C71F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2"/>
        </w:rPr>
      </w:pPr>
    </w:p>
    <w:sectPr w:rsidR="009C71F7" w:rsidRPr="009C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48C4"/>
    <w:multiLevelType w:val="multilevel"/>
    <w:tmpl w:val="747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2"/>
    <w:rsid w:val="006E3389"/>
    <w:rsid w:val="00833371"/>
    <w:rsid w:val="009C71F7"/>
    <w:rsid w:val="00BD6EB1"/>
    <w:rsid w:val="00BE7DE2"/>
    <w:rsid w:val="00BF2D99"/>
    <w:rsid w:val="00C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0B508"/>
  <w15:chartTrackingRefBased/>
  <w15:docId w15:val="{C7C625E2-5703-4043-9B2F-F6FDA175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71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71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ured.cu/Modelo_H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ured.cu/Coordenadas_cil%C3%ADndricas" TargetMode="External"/><Relationship Id="rId5" Type="http://schemas.openxmlformats.org/officeDocument/2006/relationships/hyperlink" Target="https://www.ecured.cu/Ingl%C3%A9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stanley meoño velasquez</dc:creator>
  <cp:keywords/>
  <dc:description/>
  <cp:lastModifiedBy>johnatan stanley meoño velasquez</cp:lastModifiedBy>
  <cp:revision>2</cp:revision>
  <dcterms:created xsi:type="dcterms:W3CDTF">2019-07-21T21:32:00Z</dcterms:created>
  <dcterms:modified xsi:type="dcterms:W3CDTF">2019-07-21T21:37:00Z</dcterms:modified>
</cp:coreProperties>
</file>