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Akte Datenspeicher Havel: Scraping, API, Immobilienportal und KI-Training</w:t>
      </w:r>
    </w:p>
    <w:p>
      <w:r>
        <w:t>Datenbankherstellerrecht im echten Plattformalltag: Technik, Vertrag, Beweis, KI und M&amp;A.</w:t>
      </w:r>
    </w:p>
    <w:p>
      <w:pPr>
        <w:pStyle w:val="Heading2"/>
      </w:pPr>
      <w:r>
        <w:t>Ein Immobilienportal entdeckt massenhafte API-Zugriffe eines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Der Wettbewerber behauptet, nur unwesentliche Teile entnomme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 ehemaliger Mitarbeiter exportierte CRM-Daten und importi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Der Datenbestand soll für KI-Training lizenziert werden, abe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Investoren verlangen Nachweise, dass Datenbankrechte als Ass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Screenshots, Logs und Hashwerte liegen fragmentarisch vor.</w:t>
      </w:r>
    </w:p>
    <w:p>
      <w:r>
        <w:t>Arbeitsvermerk: Unterlage, Rechtsfrage, Beweisrisiko und nächster Schritt trennen. Keine Fundstelle ohne Prüfung übernehmen.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