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OBERLANDESGERICHT NUERNBERG</w:t>
      </w:r>
    </w:p>
    <w:p>
      <w:pPr>
        <w:jc w:val="center"/>
      </w:pPr>
      <w:r>
        <w:t>7. Familiensenat</w:t>
      </w:r>
    </w:p>
    <w:p>
      <w:r/>
    </w:p>
    <w:p>
      <w:pPr>
        <w:jc w:val="center"/>
      </w:pPr>
      <w:r>
        <w:rPr>
          <w:b/>
        </w:rPr>
        <w:t>Az. 7 UF 743/22</w:t>
      </w:r>
    </w:p>
    <w:p>
      <w:r/>
    </w:p>
    <w:p>
      <w:pPr>
        <w:pStyle w:val="Heading1"/>
      </w:pPr>
      <w:r>
        <w:rPr>
          <w:rFonts w:ascii="Calibri" w:hAnsi="Calibri"/>
        </w:rPr>
        <w:t>Protokoll</w:t>
      </w:r>
    </w:p>
    <w:p>
      <w:r>
        <w:t>ueber die oeffentliche Sitzung</w:t>
      </w:r>
    </w:p>
    <w:p>
      <w:r/>
    </w:p>
    <w:p>
      <w:r>
        <w:rPr>
          <w:b/>
        </w:rPr>
        <w:t>vom 18. Oktober 2022</w:t>
      </w:r>
    </w:p>
    <w:p>
      <w:r>
        <w:t>10:00 Uhr bis 12:35 Uhr</w:t>
      </w:r>
    </w:p>
    <w:p>
      <w:r>
        <w:t>Sitzungssaal 224, Justizzentrum Nuernberg, Fuerther Str. 110</w:t>
      </w:r>
    </w:p>
    <w:p>
      <w:r/>
    </w:p>
    <w:p>
      <w:r>
        <w:t>Anwesend:</w:t>
      </w:r>
    </w:p>
    <w:p>
      <w:r>
        <w:t>Vorsitzender Richter am Oberlandesgericht Dr. Hans-Werner Pirckheimer</w:t>
      </w:r>
    </w:p>
    <w:p>
      <w:r>
        <w:t>Richterin am Oberlandesgericht Christina Lampertshausen-Wittmann</w:t>
      </w:r>
    </w:p>
    <w:p>
      <w:r>
        <w:t>Richter am Oberlandesgericht Dr. Friedhelm Buchberger</w:t>
      </w:r>
    </w:p>
    <w:p>
      <w:r>
        <w:t>Urkundsbeamter der Geschaeftsstelle: Justizinspektor Manuel Brueckl</w:t>
      </w:r>
    </w:p>
    <w:p>
      <w:r/>
    </w:p>
    <w:p>
      <w:r>
        <w:t>In der Familiensache</w:t>
      </w:r>
    </w:p>
    <w:p>
      <w:r/>
    </w:p>
    <w:p>
      <w:r>
        <w:rPr>
          <w:b/>
        </w:rPr>
        <w:t>Dr. Maximilian Schaefer ./. Leonie Schaefer</w:t>
      </w:r>
    </w:p>
    <w:p>
      <w:r/>
    </w:p>
    <w:p>
      <w:r>
        <w:t>erscheinen:</w:t>
      </w:r>
    </w:p>
    <w:p>
      <w:r>
        <w:t>1. Antragsteller und Beschwerdefuehrer: Dr. Maximilian Schaefer, persoenlich,</w:t>
      </w:r>
    </w:p>
    <w:p>
      <w:r>
        <w:t xml:space="preserve">   begleitet von Rechtsanwalt Andreas Vorndran;</w:t>
      </w:r>
    </w:p>
    <w:p>
      <w:r>
        <w:t>2. Antragsgegnerin und Beschwerdegegnerin: Leonie Schaefer geb. Winterstein, persoenlich,</w:t>
      </w:r>
    </w:p>
    <w:p>
      <w:r>
        <w:t xml:space="preserve">   begleitet von Rechtsanwaeltin Helene Soell-Roedelsteiner.</w:t>
      </w:r>
    </w:p>
    <w:p>
      <w:r/>
    </w:p>
    <w:p>
      <w:r>
        <w:t>Der Vorsitzende eroeffnet die Sitzung und stellt fest, dass die Saiche zur Verhandlung steht.</w:t>
      </w:r>
    </w:p>
    <w:p>
      <w:r/>
    </w:p>
    <w:p>
      <w:r>
        <w:t>Der Sachverhalt wird durch die Berichterstatterin Lampertshausen-Wittmann zusammengefasst.</w:t>
      </w:r>
    </w:p>
    <w:p>
      <w:r/>
    </w:p>
    <w:p>
      <w:pPr>
        <w:pStyle w:val="Heading2"/>
      </w:pPr>
      <w:r>
        <w:rPr>
          <w:rFonts w:ascii="Calibri" w:hAnsi="Calibri"/>
        </w:rPr>
        <w:t>Roemisch I. Anhoerung des Antragstellers</w:t>
      </w:r>
    </w:p>
    <w:p>
      <w:r>
        <w:t>Dr. Schaefer wird zu seinen wirtschaftlichen Verhaeltnissen befragt. Er gibt an, seine Praxis erziele aktuell rund 211.000 EUR Gewinn pro Jahr; die Tendenz sei aufgrund einer 2020 diagnostizierten Coxarthrose fallend. Eine Praxisabgabe in fuenf bis sieben Jahren sei vorgesehen. Sein Vermoegen betrage rund 195.000 EUR; nennenswerte Ersparnisse seien nicht vorhanden. Die Anrechte bei der Bayerischen Aerzteversorgung in Hoehe von 4.127,42 EUR seien seine zentrale Altersvorsorge.</w:t>
      </w:r>
    </w:p>
    <w:p>
      <w:r/>
    </w:p>
    <w:p>
      <w:pPr>
        <w:pStyle w:val="Heading2"/>
      </w:pPr>
      <w:r>
        <w:rPr>
          <w:rFonts w:ascii="Calibri" w:hAnsi="Calibri"/>
        </w:rPr>
        <w:t>Roemisch II. Anhoerung der Antragsgegnerin</w:t>
      </w:r>
    </w:p>
    <w:p>
      <w:r>
        <w:t>Frau Schaefer wird zu ihrem Erbe Winterstein 2019 und zu ihren Vermoegensverhaeltnissen befragt. Sie schildert, dass das Erbe einseitig erworben und ueberwiegend in Immobilien gebunden sei. Die Mieteinnahmen verwende sie zu rund 60 Prozent fuer laufende Instandhaltung, Verwaltung und Steuern; die verbleibenden 40 Prozent fliessen in ein Ruecklagenkonto fuer Modernisierungen.</w:t>
      </w:r>
    </w:p>
    <w:p>
      <w:r>
        <w:t>Sie weist darauf hin, dass sie ihrerseits eine Beamtenversorgung von 1.850 EUR und 12,5 DRV-Entgeltpunkte habe; sie sei nicht auf den Versorgungsausgleich angewiesen, betone aber, dass dies fuer den Halbteilungsgrundsatz irrelevant sei.</w:t>
      </w:r>
    </w:p>
    <w:p>
      <w:r/>
    </w:p>
    <w:p>
      <w:pPr>
        <w:pStyle w:val="Heading2"/>
      </w:pPr>
      <w:r>
        <w:rPr>
          <w:rFonts w:ascii="Calibri" w:hAnsi="Calibri"/>
        </w:rPr>
        <w:t>Roemisch III. Beweisaufnahme - Sachverstaendiger</w:t>
      </w:r>
    </w:p>
    <w:p>
      <w:r>
        <w:t>Auf Beschluss des Senats vom 12.09.2022 erstattet der Wirtschaftspruefer und Sachverstaendige Dipl.-Kfm. Helmut Weisbacher (Sachverstaendigenbuero Weisbacher und Partner, Erlangen) muendlich sein Gutachten zur Verkehrswert- und Verwertbarkeitslage der drei Immobilien der Antragsgegnerin sowie zum Praxiswert des Antragstellers.</w:t>
      </w:r>
    </w:p>
    <w:p>
      <w:r/>
    </w:p>
    <w:p>
      <w:r>
        <w:t>Der Sachverstaendige fuehrt aus:</w:t>
      </w:r>
    </w:p>
    <w:p>
      <w:r>
        <w:t>- Verkehrswerte (Stichtag 31.12.2021): Mehrfamilienhaus Bamberg 2.795.000 EUR; Gewerbeimmobilie Forchheim 1.510.000 EUR; ETW Muenchen 945.000 EUR; insgesamt 5.250.000 EUR.</w:t>
      </w:r>
    </w:p>
    <w:p>
      <w:r>
        <w:t>- Verwertbarkeit: Mehrfamilienhaus Bamberg kurzfristig verwertbar mit Abschlag von 8-12 Prozent; Gewerbeimmobilie Forchheim aufgrund der Spezialnutzung mit Abschlag von 15-20 Prozent; ETW Muenchen kurzfristig verwertbar mit Abschlag von 5-8 Prozent.</w:t>
      </w:r>
    </w:p>
    <w:p>
      <w:r>
        <w:t>- Beleihung: Bei der Sparkasse Bamberg ist eine Vollvalutierung bis 60 Prozent des Verkehrswerts moeglich; absolute Beleihbarkeit ca. 3,15 Mio. EUR.</w:t>
      </w:r>
    </w:p>
    <w:p>
      <w:r>
        <w:t>- Praxis Dr. Schaefer: Ertragswertverfahren ergibt Praxiswert von 380.000 bis 470.000 EUR (Bandbreite je nach Praxisuebergabe-Zeitpunkt).</w:t>
      </w:r>
    </w:p>
    <w:p>
      <w:r/>
    </w:p>
    <w:p>
      <w:pPr>
        <w:pStyle w:val="Heading2"/>
      </w:pPr>
      <w:r>
        <w:rPr>
          <w:rFonts w:ascii="Calibri" w:hAnsi="Calibri"/>
        </w:rPr>
        <w:t>Roemisch IV. Vergleichsverhandlungen</w:t>
      </w:r>
    </w:p>
    <w:p>
      <w:r>
        <w:t>Der Vorsitzende regt einen Vergleich an: Reduzierung des VA auf 60 Prozent gegen Verzicht der Antragsgegnerin auf etwaige Pflichtteilsanspruechen aus einem spaeteren Erbgang des Antragstellers. Die Beteiligten lehnen den Vergleichsvorschlag jeweils ab.</w:t>
      </w:r>
    </w:p>
    <w:p>
      <w:r/>
    </w:p>
    <w:p>
      <w:r>
        <w:t>Sodann ergeht der Beschluss:</w:t>
      </w:r>
    </w:p>
    <w:p>
      <w:r/>
    </w:p>
    <w:p>
      <w:r>
        <w:t>Die muendliche Verhandlung wird geschlossen. Die Entscheidung wird verkuendet am 14.11.2022 (Verkuendung in Abwesenheit; Zustellung).</w:t>
      </w:r>
    </w:p>
    <w:p>
      <w:r/>
    </w:p>
    <w:p>
      <w:r>
        <w:t>Vorgelesen, genehmigt:</w:t>
      </w:r>
    </w:p>
    <w:p>
      <w:r/>
    </w:p>
    <w:p>
      <w:r>
        <w:t>Dr. Pirckheimer                Manuel Brueckl</w:t>
      </w:r>
    </w:p>
    <w:p>
      <w:r>
        <w:t>Vorsitzender                   Urkundsbeamter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