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i w:val="0"/>
          <w:sz w:val="28"/>
        </w:rPr>
        <w:t>Beschlussvorlage Glaeubigerausschuss</w:t>
      </w:r>
    </w:p>
    <w:p>
      <w:pPr>
        <w:spacing w:after="280"/>
        <w:jc w:val="center"/>
      </w:pPr>
      <w:r>
        <w:rPr>
          <w:rFonts w:ascii="Times New Roman" w:hAnsi="Times New Roman"/>
          <w:b w:val="0"/>
          <w:i/>
          <w:sz w:val="24"/>
        </w:rPr>
        <w:t>ChainCortex AI GmbH (i. Ins.) - AG Charlottenburg 36 IN 1342/26</w:t>
      </w:r>
    </w:p>
    <w:p>
      <w:pPr>
        <w:spacing w:after="280"/>
        <w:jc w:val="center"/>
      </w:pPr>
      <w:r>
        <w:rPr>
          <w:rFonts w:ascii="Times New Roman" w:hAnsi="Times New Roman"/>
          <w:b w:val="0"/>
          <w:i w:val="0"/>
          <w:sz w:val="24"/>
        </w:rPr>
        <w:t>Sitzung 17.06.2026, 10:00 Uhr, AG Charlottenburg, Saal 4188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24"/>
        </w:rPr>
        <w:t>I. Beschlussgegenstand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Veraeusserung der wesentlichen immateriellen Vermoegensgegenstaende der Schuldnerin an die Voracis Ventures GmbH (Newco) zu einem Kaufpreis von [400.000,00 EUR], Uebernahmestichtag 01.07.2026. Rechtsgrundlage: Paragraf 160 Abs. 2 Nr. 1 InsO. Paragraf 162 InsO ist nicht einschlaegig (kein besonders Interessierter; siehe DD-Bericht Aktenstueck 05).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24"/>
        </w:rPr>
        <w:t>II. Wirtschaftliche Eckdaten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Kaufpreis 400.000 EUR. Massekosten und Verwalterverguetung anteilig ca. 102.000 EUR. Geschaetzter Nettoerlos fuer Verteilungsmasse ca. 298.000 EUR. Vergleichsbetrachtung Stilllegungsszenario: 80-110 TEUR. Asset Deal also wirtschaftlich um ca. 180-220 TEUR ueberlegen, zusaetzlich Erhalt von 10 Arbeitsplaetzen.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24"/>
        </w:rPr>
        <w:t>III. Risiken (Kurzdarstellung)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1) Keine Anfechtungsrisiken (Verfuegung post-eroeffnung). 2) DSGVO-Risiko fuer B2C-Daten durch EuGH C-732/22 mitigiert (30-Tage-Widerspruchsfrist, Art. 14-Information). 3) AN-Widerspruchsrecht beherrschbar. 4) Paragraf 25 HGB ohne Firmenfortfuehrung nicht einschlaegig, vorsorglich Haftungsausschluss nach Paragraf 25 II HGB.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24"/>
        </w:rPr>
        <w:t>IV. Beschlussvorschlag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Der Glaeubigerausschuss beschliesst: Der Insolvenzverwalter, RA Dr. Konrad Vorberg, wird ermaechtigt und beauftragt, die wesentlichen immateriellen Vermoegensgegenstaende der Schuldnerin sowie die in Anlage 2 des Asset-Purchase-Agreement-Entwurfs aufgefuehrten Arbeitsverhaeltnisse an die Voracis Ventures GmbH zu einem Kaufpreis von 400.000,00 EUR zu veraeussern, Uebernahmestichtag 01.07.2026. Der Verwalter wird ferner ermaechtigt, im Rahmen der weiteren Verhandlungen Kaufpreisanpassungen bis +/- 7,5 % vorzunehmen sowie redaktionelle Anpassungen am Vertragstext zu setzen, soweit sie die wirtschaftlichen Eckdaten nicht veraendern.</w:t>
      </w:r>
    </w:p>
    <w:p>
      <w:pPr>
        <w:spacing w:after="28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Berlin, 12.06.2026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Dr. Konrad Vorberg, Insolvenzverwalter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