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K1-Anlagenverzeichnis Arbeitsfassung</w:t>
      </w:r>
    </w:p>
    <w:p>
      <w:r>
        <w:rPr>
          <w:sz w:val="20"/>
        </w:rPr>
        <w:t>LG Aachen 11 O 188/26 — Werkmann ./. K+B — Stand 22.04.2026, 16:45 Uhr</w:t>
      </w:r>
    </w:p>
    <w:p>
      <w:pPr>
        <w:pStyle w:val="Heading1"/>
      </w:pPr>
      <w:r>
        <w:t>Anlage K1</w:t>
      </w:r>
    </w:p>
    <w:p>
      <w:r>
        <w:t>Vertragsgrundlagen Lackieranlage Eschweiler als Konvolut K1.1 bis K1.5.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Dokument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Beweiszweck</w:t>
            </w:r>
          </w:p>
        </w:tc>
      </w:tr>
      <w:tr>
        <w:tc>
          <w:tcPr>
            <w:tcW w:type="dxa" w:w="2160"/>
          </w:tcPr>
          <w:p>
            <w:r>
              <w:t>K1.1</w:t>
            </w:r>
          </w:p>
        </w:tc>
        <w:tc>
          <w:tcPr>
            <w:tcW w:type="dxa" w:w="2160"/>
          </w:tcPr>
          <w:p>
            <w:r>
              <w:t>Nachunternehmervertrag</w:t>
            </w:r>
          </w:p>
        </w:tc>
        <w:tc>
          <w:tcPr>
            <w:tcW w:type="dxa" w:w="2160"/>
          </w:tcPr>
          <w:p>
            <w:r>
              <w:t>28.03.2024</w:t>
            </w:r>
          </w:p>
        </w:tc>
        <w:tc>
          <w:tcPr>
            <w:tcW w:type="dxa" w:w="2160"/>
          </w:tcPr>
          <w:p>
            <w:r>
              <w:t>Vertragsschluss, Pauschalpreis, Leistungsbild</w:t>
            </w:r>
          </w:p>
        </w:tc>
      </w:tr>
      <w:tr>
        <w:tc>
          <w:tcPr>
            <w:tcW w:type="dxa" w:w="2160"/>
          </w:tcPr>
          <w:p>
            <w:r>
              <w:t>K1.2</w:t>
            </w:r>
          </w:p>
        </w:tc>
        <w:tc>
          <w:tcPr>
            <w:tcW w:type="dxa" w:w="2160"/>
          </w:tcPr>
          <w:p>
            <w:r>
              <w:t>Technische Beschreibung V2.4</w:t>
            </w:r>
          </w:p>
        </w:tc>
        <w:tc>
          <w:tcPr>
            <w:tcW w:type="dxa" w:w="2160"/>
          </w:tcPr>
          <w:p>
            <w:r>
              <w:t>02.04.2024</w:t>
            </w:r>
          </w:p>
        </w:tc>
        <w:tc>
          <w:tcPr>
            <w:tcW w:type="dxa" w:w="2160"/>
          </w:tcPr>
          <w:p>
            <w:r>
              <w:t>technischer Ausgangsumfang</w:t>
            </w:r>
          </w:p>
        </w:tc>
      </w:tr>
      <w:tr>
        <w:tc>
          <w:tcPr>
            <w:tcW w:type="dxa" w:w="2160"/>
          </w:tcPr>
          <w:p>
            <w:r>
              <w:t>K1.3</w:t>
            </w:r>
          </w:p>
        </w:tc>
        <w:tc>
          <w:tcPr>
            <w:tcW w:type="dxa" w:w="2160"/>
          </w:tcPr>
          <w:p>
            <w:r>
              <w:t>Nachtrag N-07</w:t>
            </w:r>
          </w:p>
        </w:tc>
        <w:tc>
          <w:tcPr>
            <w:tcW w:type="dxa" w:w="2160"/>
          </w:tcPr>
          <w:p>
            <w:r>
              <w:t>12.07.2024</w:t>
            </w:r>
          </w:p>
        </w:tc>
        <w:tc>
          <w:tcPr>
            <w:tcW w:type="dxa" w:w="2160"/>
          </w:tcPr>
          <w:p>
            <w:r>
              <w:t>Taktzeitverkürzung und Mehrleistung</w:t>
            </w:r>
          </w:p>
        </w:tc>
      </w:tr>
      <w:tr>
        <w:tc>
          <w:tcPr>
            <w:tcW w:type="dxa" w:w="2160"/>
          </w:tcPr>
          <w:p>
            <w:r>
              <w:t>K1.4</w:t>
            </w:r>
          </w:p>
        </w:tc>
        <w:tc>
          <w:tcPr>
            <w:tcW w:type="dxa" w:w="2160"/>
          </w:tcPr>
          <w:p>
            <w:r>
              <w:t>E-Mail Tellenbach</w:t>
            </w:r>
          </w:p>
        </w:tc>
        <w:tc>
          <w:tcPr>
            <w:tcW w:type="dxa" w:w="2160"/>
          </w:tcPr>
          <w:p>
            <w:r>
              <w:t>16.07.2024</w:t>
            </w:r>
          </w:p>
        </w:tc>
        <w:tc>
          <w:tcPr>
            <w:tcW w:type="dxa" w:w="2160"/>
          </w:tcPr>
          <w:p>
            <w:r>
              <w:t>Bestätigung Bauleitung</w:t>
            </w:r>
          </w:p>
        </w:tc>
      </w:tr>
      <w:tr>
        <w:tc>
          <w:tcPr>
            <w:tcW w:type="dxa" w:w="2160"/>
          </w:tcPr>
          <w:p>
            <w:r>
              <w:t>K1.5</w:t>
            </w:r>
          </w:p>
        </w:tc>
        <w:tc>
          <w:tcPr>
            <w:tcW w:type="dxa" w:w="2160"/>
          </w:tcPr>
          <w:p>
            <w:r>
              <w:t>Kaufmännische Bestätigung K+B</w:t>
            </w:r>
          </w:p>
        </w:tc>
        <w:tc>
          <w:tcPr>
            <w:tcW w:type="dxa" w:w="2160"/>
          </w:tcPr>
          <w:p>
            <w:r>
              <w:t>19.07.2024</w:t>
            </w:r>
          </w:p>
        </w:tc>
        <w:tc>
          <w:tcPr>
            <w:tcW w:type="dxa" w:w="2160"/>
          </w:tcPr>
          <w:p>
            <w:r>
              <w:t>Vergütung dem Grunde nach</w:t>
            </w:r>
          </w:p>
        </w:tc>
      </w:tr>
    </w:tbl>
    <w:p>
      <w:pPr>
        <w:pStyle w:val="Heading1"/>
      </w:pPr>
      <w:r>
        <w:t>Offene Kontrollpunkte</w:t>
      </w:r>
    </w:p>
    <w:p>
      <w:pPr>
        <w:pStyle w:val="ListBullet"/>
      </w:pPr>
      <w:r>
        <w:t>K4 nur geschwärzt einreichen.</w:t>
      </w:r>
    </w:p>
    <w:p>
      <w:pPr>
        <w:pStyle w:val="ListBullet"/>
      </w:pPr>
      <w:r>
        <w:t>K17-Fehlanlage im Zielordner erneut suchen.</w:t>
      </w:r>
    </w:p>
    <w:p>
      <w:pPr>
        <w:pStyle w:val="ListBullet"/>
      </w:pPr>
      <w:r>
        <w:t>K38a Neuscan nachfordern oder gelb dokumentieren.</w:t>
      </w:r>
    </w:p>
    <w:p>
      <w:pPr>
        <w:pStyle w:val="ListBullet"/>
      </w:pPr>
      <w:r>
        <w:t>Paket 4 vor Upload ggf. teilen.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