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66A87" w14:textId="355D529C" w:rsidR="003D7298" w:rsidRDefault="003D7298"/>
    <w:p w14:paraId="18317F82" w14:textId="13C347E2" w:rsidR="003D7298" w:rsidRDefault="003D7298"/>
    <w:p w14:paraId="45A96AE3" w14:textId="78C5FD0D" w:rsidR="005B6C2A" w:rsidRDefault="005B6C2A"/>
    <w:p w14:paraId="5E89C359" w14:textId="77777777" w:rsidR="005B6C2A" w:rsidRDefault="005B6C2A"/>
    <w:p w14:paraId="3DF55620" w14:textId="77777777" w:rsidR="003D7298" w:rsidRDefault="003D7298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7298" w14:paraId="7C49FEBF" w14:textId="77777777">
        <w:tc>
          <w:tcPr>
            <w:tcW w:w="9360" w:type="dxa"/>
            <w:shd w:val="clear" w:color="auto" w:fill="0070F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F5D070" w14:textId="06F5C2F4" w:rsidR="003D7298" w:rsidRDefault="003D7298"/>
        </w:tc>
      </w:tr>
    </w:tbl>
    <w:p w14:paraId="3DBEF014" w14:textId="63EA420D" w:rsidR="003D7298" w:rsidRDefault="006802F7">
      <w:pPr>
        <w:spacing w:before="480" w:after="80"/>
      </w:pPr>
      <w:r>
        <w:rPr>
          <w:rFonts w:ascii="Segoe UI" w:hAnsi="Segoe UI"/>
          <w:b/>
          <w:color w:val="0A1D37"/>
          <w:sz w:val="52"/>
        </w:rPr>
        <w:t>DOCUMENTO DE ALCANCE DE SOLUCIÓN</w:t>
      </w:r>
    </w:p>
    <w:p w14:paraId="610D117F" w14:textId="77777777" w:rsidR="003D7298" w:rsidRDefault="006802F7">
      <w:pPr>
        <w:spacing w:after="480"/>
      </w:pPr>
      <w:r>
        <w:rPr>
          <w:rFonts w:ascii="Segoe UI" w:hAnsi="Segoe UI"/>
          <w:color w:val="0070F2"/>
          <w:sz w:val="28"/>
        </w:rPr>
        <w:t>Suite de Localización Perú: Libros Contables Electrónicos</w:t>
      </w:r>
      <w:r>
        <w:rPr>
          <w:rFonts w:ascii="Segoe UI" w:hAnsi="Segoe UI"/>
          <w:color w:val="0070F2"/>
          <w:sz w:val="28"/>
        </w:rPr>
        <w:br/>
        <w:t>y Monitores Tributarios desplegados en SAP Fiori</w:t>
      </w:r>
    </w:p>
    <w:p w14:paraId="4D6513FF" w14:textId="6F1CD07A" w:rsidR="003D7298" w:rsidRDefault="003D7298">
      <w:pPr>
        <w:pBdr>
          <w:bottom w:val="single" w:sz="12" w:space="1" w:color="E0E0E0"/>
        </w:pBdr>
      </w:pPr>
    </w:p>
    <w:p w14:paraId="39BCF5D4" w14:textId="77777777" w:rsidR="003D7298" w:rsidRDefault="003D7298"/>
    <w:p w14:paraId="39E0D412" w14:textId="77777777" w:rsidR="003D7298" w:rsidRDefault="003D7298"/>
    <w:p w14:paraId="01347C87" w14:textId="77777777" w:rsidR="003D7298" w:rsidRDefault="003D7298"/>
    <w:p w14:paraId="5599ED2E" w14:textId="1EA433BA" w:rsidR="003D7298" w:rsidRDefault="003D7298"/>
    <w:p w14:paraId="0EF3DB3B" w14:textId="3C8AB9EB" w:rsidR="003D7298" w:rsidRDefault="003D7298"/>
    <w:p w14:paraId="3C2E1052" w14:textId="0A9C97BF" w:rsidR="003D7298" w:rsidRDefault="003D7298"/>
    <w:p w14:paraId="4E34E1DF" w14:textId="2781FFE4" w:rsidR="003D7298" w:rsidRDefault="006802F7">
      <w:pPr>
        <w:spacing w:after="120" w:line="312" w:lineRule="auto"/>
      </w:pPr>
      <w:r>
        <w:rPr>
          <w:rFonts w:ascii="Segoe UI" w:hAnsi="Segoe UI"/>
          <w:color w:val="32363A"/>
          <w:sz w:val="20"/>
        </w:rPr>
        <w:t>Preparado para:</w:t>
      </w:r>
      <w:r>
        <w:rPr>
          <w:rFonts w:ascii="Segoe UI" w:hAnsi="Segoe UI"/>
          <w:color w:val="32363A"/>
          <w:sz w:val="20"/>
        </w:rPr>
        <w:tab/>
      </w:r>
      <w:r>
        <w:rPr>
          <w:rFonts w:ascii="Segoe UI" w:hAnsi="Segoe UI"/>
          <w:color w:val="32363A"/>
          <w:sz w:val="20"/>
        </w:rPr>
        <w:tab/>
        <w:t>Presentación de Producto / Cliente Final</w:t>
      </w:r>
      <w:r>
        <w:rPr>
          <w:rFonts w:ascii="Segoe UI" w:hAnsi="Segoe UI"/>
          <w:color w:val="32363A"/>
          <w:sz w:val="20"/>
        </w:rPr>
        <w:br/>
        <w:t>Preparado por:</w:t>
      </w:r>
      <w:r>
        <w:rPr>
          <w:rFonts w:ascii="Segoe UI" w:hAnsi="Segoe UI"/>
          <w:color w:val="32363A"/>
          <w:sz w:val="20"/>
        </w:rPr>
        <w:tab/>
      </w:r>
      <w:r>
        <w:rPr>
          <w:rFonts w:ascii="Segoe UI" w:hAnsi="Segoe UI"/>
          <w:color w:val="32363A"/>
          <w:sz w:val="20"/>
        </w:rPr>
        <w:tab/>
        <w:t xml:space="preserve">Especialista </w:t>
      </w:r>
      <w:r>
        <w:rPr>
          <w:rFonts w:ascii="Segoe UI" w:hAnsi="Segoe UI"/>
          <w:color w:val="32363A"/>
          <w:sz w:val="20"/>
        </w:rPr>
        <w:t>Comercial SAP HANA</w:t>
      </w:r>
      <w:r>
        <w:rPr>
          <w:rFonts w:ascii="Segoe UI" w:hAnsi="Segoe UI"/>
          <w:color w:val="32363A"/>
          <w:sz w:val="20"/>
        </w:rPr>
        <w:br/>
        <w:t>Plataforma Base:</w:t>
      </w:r>
      <w:r>
        <w:rPr>
          <w:rFonts w:ascii="Segoe UI" w:hAnsi="Segoe UI"/>
          <w:color w:val="32363A"/>
          <w:sz w:val="20"/>
        </w:rPr>
        <w:tab/>
      </w:r>
      <w:r>
        <w:rPr>
          <w:rFonts w:ascii="Segoe UI" w:hAnsi="Segoe UI"/>
          <w:color w:val="32363A"/>
          <w:sz w:val="20"/>
        </w:rPr>
        <w:t>SAP S/4HANA / SAP Fiori Launchpad</w:t>
      </w:r>
      <w:r>
        <w:rPr>
          <w:rFonts w:ascii="Segoe UI" w:hAnsi="Segoe UI"/>
          <w:color w:val="32363A"/>
          <w:sz w:val="20"/>
        </w:rPr>
        <w:br/>
        <w:t>Normativa Local:</w:t>
      </w:r>
      <w:r>
        <w:rPr>
          <w:rFonts w:ascii="Segoe UI" w:hAnsi="Segoe UI"/>
          <w:color w:val="32363A"/>
          <w:sz w:val="20"/>
        </w:rPr>
        <w:tab/>
        <w:t>SUNAT PLE &amp; SIRE RCE/RVIE (Perú)</w:t>
      </w:r>
      <w:r>
        <w:rPr>
          <w:rFonts w:ascii="Segoe UI" w:hAnsi="Segoe UI"/>
          <w:color w:val="32363A"/>
          <w:sz w:val="20"/>
        </w:rPr>
        <w:br/>
        <w:t>Fecha de Emisión:</w:t>
      </w:r>
      <w:r>
        <w:rPr>
          <w:rFonts w:ascii="Segoe UI" w:hAnsi="Segoe UI"/>
          <w:color w:val="32363A"/>
          <w:sz w:val="20"/>
        </w:rPr>
        <w:tab/>
        <w:t>Julio, 2026</w:t>
      </w:r>
      <w:r>
        <w:rPr>
          <w:rFonts w:ascii="Segoe UI" w:hAnsi="Segoe UI"/>
          <w:color w:val="32363A"/>
          <w:sz w:val="20"/>
        </w:rPr>
        <w:br/>
        <w:t>Versión:</w:t>
      </w:r>
      <w:r>
        <w:rPr>
          <w:rFonts w:ascii="Segoe UI" w:hAnsi="Segoe UI"/>
          <w:color w:val="32363A"/>
          <w:sz w:val="20"/>
        </w:rPr>
        <w:tab/>
      </w:r>
      <w:r>
        <w:rPr>
          <w:rFonts w:ascii="Segoe UI" w:hAnsi="Segoe UI"/>
          <w:color w:val="32363A"/>
          <w:sz w:val="20"/>
        </w:rPr>
        <w:tab/>
      </w:r>
      <w:r>
        <w:rPr>
          <w:rFonts w:ascii="Segoe UI" w:hAnsi="Segoe UI"/>
          <w:color w:val="32363A"/>
          <w:sz w:val="20"/>
        </w:rPr>
        <w:tab/>
        <w:t>1.0 (Comercial / Preventa)</w:t>
      </w:r>
    </w:p>
    <w:p w14:paraId="5DC9F7CF" w14:textId="77777777" w:rsidR="003D7298" w:rsidRDefault="006802F7">
      <w:r>
        <w:br w:type="page"/>
      </w:r>
    </w:p>
    <w:p w14:paraId="2834AB33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lastRenderedPageBreak/>
        <w:t>1. Resumen Ejecutivo</w:t>
      </w:r>
    </w:p>
    <w:p w14:paraId="079885B1" w14:textId="77777777" w:rsidR="003D7298" w:rsidRDefault="006802F7">
      <w:pPr>
        <w:spacing w:before="120" w:after="120"/>
      </w:pPr>
      <w:r>
        <w:rPr>
          <w:rFonts w:ascii="Segoe UI" w:hAnsi="Segoe UI"/>
          <w:color w:val="32363A"/>
        </w:rPr>
        <w:t xml:space="preserve">Nuestra solución transforma la experiencia de usuario y optimiza radicalmente los procesos contables y tributarios al migrar la actual Localización Perú (tradicionalmente basada en transacciones del SAP GUI clásicas) hacia una interfaz moderna, intuitiva, </w:t>
      </w:r>
      <w:r>
        <w:rPr>
          <w:rFonts w:ascii="Segoe UI" w:hAnsi="Segoe UI"/>
          <w:color w:val="32363A"/>
        </w:rPr>
        <w:t>responsiva y centralizada en SAP Fiori. Esta suite garantiza el 100% de cumplimiento con las normativas vigentes emitidas por la SUNAT, incluyendo la reciente obligatoriedad e integración del Sistema Integrado de Registros Electrónicos (SIRE) en sus módulo</w:t>
      </w:r>
      <w:r>
        <w:rPr>
          <w:rFonts w:ascii="Segoe UI" w:hAnsi="Segoe UI"/>
          <w:color w:val="32363A"/>
        </w:rPr>
        <w:t>s RCE y RVIE, reduciendo tiempos de procesamiento mensual y optimizando la toma de decisiones gerenciales.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7298" w14:paraId="190DCC3B" w14:textId="77777777">
        <w:tc>
          <w:tcPr>
            <w:tcW w:w="9360" w:type="dxa"/>
            <w:tcBorders>
              <w:left w:val="single" w:sz="36" w:space="0" w:color="0070F2"/>
            </w:tcBorders>
            <w:shd w:val="clear" w:color="auto" w:fill="EBF5FF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014D99B1" w14:textId="77777777" w:rsidR="003D7298" w:rsidRDefault="006802F7">
            <w:pPr>
              <w:spacing w:before="40" w:after="40"/>
            </w:pPr>
            <w:r>
              <w:rPr>
                <w:rFonts w:ascii="Segoe UI" w:hAnsi="Segoe UI"/>
                <w:i/>
                <w:color w:val="32363A"/>
                <w:sz w:val="20"/>
              </w:rPr>
              <w:t>Nota Clave: Toda la solución está diseñada para operar 'native' en SAP HANA, lo que significa que el procesamiento de millones de registros de factur</w:t>
            </w:r>
            <w:r>
              <w:rPr>
                <w:rFonts w:ascii="Segoe UI" w:hAnsi="Segoe UI"/>
                <w:i/>
                <w:color w:val="32363A"/>
                <w:sz w:val="20"/>
              </w:rPr>
              <w:t>as y asientos contables se realiza directamente en memoria mediante CDS Views, eliminando programas de carga y reduciendo tiempos de procesamiento de horas a segundos.</w:t>
            </w:r>
          </w:p>
        </w:tc>
      </w:tr>
    </w:tbl>
    <w:p w14:paraId="4160BE5D" w14:textId="77777777" w:rsidR="003D7298" w:rsidRDefault="003D7298">
      <w:pPr>
        <w:spacing w:after="120"/>
      </w:pPr>
    </w:p>
    <w:p w14:paraId="3773CD57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t>2. Objetivos del Proyecto</w:t>
      </w:r>
    </w:p>
    <w:p w14:paraId="709952C7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Modernización Tecnológica: Despliegue de aplicaciones web SA</w:t>
      </w:r>
      <w:r>
        <w:rPr>
          <w:rFonts w:ascii="Segoe UI" w:hAnsi="Segoe UI"/>
          <w:color w:val="32363A"/>
        </w:rPr>
        <w:t>P Fiori de última generación para la gestión completa del departamento contable y tributario.</w:t>
      </w:r>
    </w:p>
    <w:p w14:paraId="450983C5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Cumplimiento Normativo (SUNAT): Asegurar la correcta extracción de información contable requerida para PLE (Libros Electrónicos), PDTs y SIRE, eliminando reproces</w:t>
      </w:r>
      <w:r>
        <w:rPr>
          <w:rFonts w:ascii="Segoe UI" w:hAnsi="Segoe UI"/>
          <w:color w:val="32363A"/>
        </w:rPr>
        <w:t>amientos externos.</w:t>
      </w:r>
    </w:p>
    <w:p w14:paraId="1910F090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Optimización Operativa: Automatizar flujos críticos como la conciliación de extractos bancarios, la generación masiva de archivos para pago de detracciones y la emisión de retenciones electrónicas.</w:t>
      </w:r>
    </w:p>
    <w:p w14:paraId="39E98F8B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Mejora de la Experiencia de Usuario (UX</w:t>
      </w:r>
      <w:r>
        <w:rPr>
          <w:rFonts w:ascii="Segoe UI" w:hAnsi="Segoe UI"/>
          <w:color w:val="32363A"/>
        </w:rPr>
        <w:t>): Proveer pantallas fluidas y amigables estructuradas por roles, facilitando la capacitación del personal y posibilitando la auditoría de saldos con un solo clic.</w:t>
      </w:r>
    </w:p>
    <w:p w14:paraId="5034890F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t>3. Arquitectura y Enfoque Tecnológico</w:t>
      </w:r>
    </w:p>
    <w:p w14:paraId="0A7ADBD2" w14:textId="77777777" w:rsidR="003D7298" w:rsidRDefault="006802F7">
      <w:pPr>
        <w:spacing w:before="80" w:after="120"/>
      </w:pPr>
      <w:r>
        <w:rPr>
          <w:rFonts w:ascii="Segoe UI" w:hAnsi="Segoe UI"/>
          <w:color w:val="32363A"/>
        </w:rPr>
        <w:t>A diferencia de los desarrollos tradicionales en SAP q</w:t>
      </w:r>
      <w:r>
        <w:rPr>
          <w:rFonts w:ascii="Segoe UI" w:hAnsi="Segoe UI"/>
          <w:color w:val="32363A"/>
        </w:rPr>
        <w:t>ue extraen datos mediante reportes ABAP de procesamiento secuencial en background, nuestra arquitectura adopta las directrices de diseño de SAP S/4HANA:</w:t>
      </w:r>
    </w:p>
    <w:p w14:paraId="264FB2D3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Base de Datos SAP HANA (CDS Views): Creación de vistas de base de datos de tipo Core Data Services. Est</w:t>
      </w:r>
      <w:r>
        <w:rPr>
          <w:rFonts w:ascii="Segoe UI" w:hAnsi="Segoe UI"/>
          <w:color w:val="32363A"/>
        </w:rPr>
        <w:t>as vistas realizan la agregación de saldos y filtrados complejos a nivel de base de datos en milisegundos, operando sobre las tablas universales BKPF y ACDOCA.</w:t>
      </w:r>
    </w:p>
    <w:p w14:paraId="5A8C1095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lastRenderedPageBreak/>
        <w:t>SAP Gateway y Servicios OData: Exposición de los datos mediante protocolos RESTful abiertos está</w:t>
      </w:r>
      <w:r>
        <w:rPr>
          <w:rFonts w:ascii="Segoe UI" w:hAnsi="Segoe UI"/>
          <w:color w:val="32363A"/>
        </w:rPr>
        <w:t>ndar de la industria, asegurando una comunicación ligera, segura y paginada hacia el cliente web.</w:t>
      </w:r>
    </w:p>
    <w:p w14:paraId="4A650C5B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SAP Fiori Launchpad: Menú web unificado donde los usuarios contables acceden a través de baldosas (tiles) informativas. Estas baldosas muestran en tiempo real</w:t>
      </w:r>
      <w:r>
        <w:rPr>
          <w:rFonts w:ascii="Segoe UI" w:hAnsi="Segoe UI"/>
          <w:color w:val="32363A"/>
        </w:rPr>
        <w:t xml:space="preserve"> indicadores clave como 'Detracciones por pagar' o 'Inconsistencias en el SIRE' antes de abrir la aplicación.</w:t>
      </w:r>
    </w:p>
    <w:p w14:paraId="2197CBF0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Integración SUNAT/OSE: Conexión automatizada mediante APIs REST de SUNAT para realizar validaciones rápidas, descarga de propuestas de compras/ven</w:t>
      </w:r>
      <w:r>
        <w:rPr>
          <w:rFonts w:ascii="Segoe UI" w:hAnsi="Segoe UI"/>
          <w:color w:val="32363A"/>
        </w:rPr>
        <w:t>tas y envío de comprobantes de retención electrónica.</w:t>
      </w:r>
    </w:p>
    <w:p w14:paraId="57777799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t>4. Alcance Funcional Detallado (Módulos y Apps Fiori)</w:t>
      </w:r>
    </w:p>
    <w:p w14:paraId="1D341861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4.1. Módulo: Mantenimiento y Configuración Base (Catálogo SUNAT)</w:t>
      </w:r>
    </w:p>
    <w:p w14:paraId="7297F503" w14:textId="77777777" w:rsidR="003D7298" w:rsidRDefault="006802F7">
      <w:pPr>
        <w:spacing w:before="80" w:after="80"/>
      </w:pPr>
      <w:r>
        <w:rPr>
          <w:rFonts w:ascii="Segoe UI" w:hAnsi="Segoe UI"/>
          <w:color w:val="32363A"/>
        </w:rPr>
        <w:t xml:space="preserve">Es el núcleo de parametrización del sistema. Centraliza las reglas de </w:t>
      </w:r>
      <w:r>
        <w:rPr>
          <w:rFonts w:ascii="Segoe UI" w:hAnsi="Segoe UI"/>
          <w:color w:val="32363A"/>
        </w:rPr>
        <w:t>negocio para asegurar que toda la información extraída cumpla rigurosamente con los catálogos y formatos definidos por el ente regulador.</w:t>
      </w:r>
    </w:p>
    <w:p w14:paraId="4A9F61A2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Configuración de Correlativos y Series (CRE/CPE/FEP): Permite la administración flexible de los números de serie y cor</w:t>
      </w:r>
      <w:r>
        <w:rPr>
          <w:rFonts w:ascii="Segoe UI" w:hAnsi="Segoe UI"/>
          <w:color w:val="32363A"/>
        </w:rPr>
        <w:t>relativos para comprobantes físicos y electrónicos, facilitando el control y evitando saltos de correlación que generen contingencias tributarias.</w:t>
      </w:r>
    </w:p>
    <w:p w14:paraId="5F717345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Autenticación de Servicios Web (OSE/SUNAT): Panel para la gestión y actualización segura de credenciales, cer</w:t>
      </w:r>
      <w:r>
        <w:rPr>
          <w:rFonts w:ascii="Segoe UI" w:hAnsi="Segoe UI"/>
          <w:color w:val="32363A"/>
        </w:rPr>
        <w:t>tificados digitales y claves SOL requeridas para el consumo automático de las APIs de SUNAT y proveedores autorizados (OSE).</w:t>
      </w:r>
    </w:p>
    <w:p w14:paraId="1E5FFBBB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Homologación de Tablas Maestras SUNAT: Aplicación interactiva para relacionar los códigos estándar del sistema SAP (ej. vías de pag</w:t>
      </w:r>
      <w:r>
        <w:rPr>
          <w:rFonts w:ascii="Segoe UI" w:hAnsi="Segoe UI"/>
          <w:color w:val="32363A"/>
        </w:rPr>
        <w:t>o, monedas, unidades de medida, tipos de cuenta) con los catálogos oficiales de SUNAT (Tablas 1, 2, 3, 4, 6, 10, etc.).</w:t>
      </w:r>
    </w:p>
    <w:p w14:paraId="6348EA5B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4.2. Módulo: Gestión de Libros Contables y Electrónicos (PLE y SIRE)</w:t>
      </w:r>
    </w:p>
    <w:p w14:paraId="7F539273" w14:textId="77777777" w:rsidR="003D7298" w:rsidRDefault="006802F7">
      <w:pPr>
        <w:spacing w:before="80" w:after="80"/>
      </w:pPr>
      <w:r>
        <w:rPr>
          <w:rFonts w:ascii="Segoe UI" w:hAnsi="Segoe UI"/>
          <w:color w:val="32363A"/>
        </w:rPr>
        <w:t>Permite al equipo contable consultar los estados financieros en tie</w:t>
      </w:r>
      <w:r>
        <w:rPr>
          <w:rFonts w:ascii="Segoe UI" w:hAnsi="Segoe UI"/>
          <w:color w:val="32363A"/>
        </w:rPr>
        <w:t>mpo real y exportar de forma masiva los libros obligatorios en los formatos exigidos por el PLE y el nuevo portal del SIRE.</w:t>
      </w:r>
    </w:p>
    <w:p w14:paraId="44264D79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 xml:space="preserve">Libro de Inventarios y Balances: Emisión y descarga de reportes oficiales, incluyendo el Estado de Situación Financiera, Balance de </w:t>
      </w:r>
      <w:r>
        <w:rPr>
          <w:rFonts w:ascii="Segoe UI" w:hAnsi="Segoe UI"/>
          <w:color w:val="32363A"/>
        </w:rPr>
        <w:t>Comprobación y el desglose de saldos para Cuentas clave: 12 y 13 (Cuentas por Cobrar Comerciales), 14 (Cuentas al Personal/Accionistas), 16 y 17 (Cuentas Diversas), 19 (Cobranza Dudosa), 34 (Intangibles), 42 y 43 (Cuentas por Pagar Comerciales), 46 y 47 (C</w:t>
      </w:r>
      <w:r>
        <w:rPr>
          <w:rFonts w:ascii="Segoe UI" w:hAnsi="Segoe UI"/>
          <w:color w:val="32363A"/>
        </w:rPr>
        <w:t>uentas por Pagar Diversas), 37 y 49 (Activo/Pasivo Diferido), Estado de Cambios en el Patrimonio Neto y el Estado de Resultados.</w:t>
      </w:r>
    </w:p>
    <w:p w14:paraId="0C76F300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lastRenderedPageBreak/>
        <w:t>Libro Diario y Libro Mayor: Extracción detallada de todas las transacciones del período y generación de la estructura analítica</w:t>
      </w:r>
      <w:r>
        <w:rPr>
          <w:rFonts w:ascii="Segoe UI" w:hAnsi="Segoe UI"/>
          <w:color w:val="32363A"/>
        </w:rPr>
        <w:t xml:space="preserve"> del Plan de Cuentas vigente.</w:t>
      </w:r>
    </w:p>
    <w:p w14:paraId="4A550AE2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Registro de Activos Fijos: Desglose de activos fijos del cliente clasificados en revaluados y no revaluados, control de diferencias de cambio asociadas, y control analítico de activos adquiridos bajo la modalidad de arrendamie</w:t>
      </w:r>
      <w:r>
        <w:rPr>
          <w:rFonts w:ascii="Segoe UI" w:hAnsi="Segoe UI"/>
          <w:color w:val="32363A"/>
        </w:rPr>
        <w:t>nto financiero (Leasing).</w:t>
      </w:r>
    </w:p>
    <w:p w14:paraId="3B8F6FAC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SIRE - Registro de Compras Electrónico (RCE): Automatiza la descarga mensual de la propuesta del RCE desde el portal de SUNAT. El monitor Fiori muestra una matriz comparativa interactiva (SAP vs. SUNAT) marcando diferencias de imp</w:t>
      </w:r>
      <w:r>
        <w:rPr>
          <w:rFonts w:ascii="Segoe UI" w:hAnsi="Segoe UI"/>
          <w:color w:val="32363A"/>
        </w:rPr>
        <w:t>ortes, fechas o tipos de cambio, y permitiendo generar los archivos TXT de aceptación de propuesta, adiciones de comprobantes no incluidos o exclusiones.</w:t>
      </w:r>
    </w:p>
    <w:p w14:paraId="08BBDEB9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SIRE - Registro de Ventas e Ingresos Electrónico (RVIE): Genera y valida de forma instantánea el archi</w:t>
      </w:r>
      <w:r>
        <w:rPr>
          <w:rFonts w:ascii="Segoe UI" w:hAnsi="Segoe UI"/>
          <w:color w:val="32363A"/>
        </w:rPr>
        <w:t>vo de ventas del mes a partir de los documentos en SAP SD y FI, comparándolo automáticamente con la propuesta de SUNAT y enviando el reporte definitivo (con desglose de operaciones gravadas, exoneradas, inafectas, exportación e impuestos ISC, IGV, IVAP).</w:t>
      </w:r>
    </w:p>
    <w:p w14:paraId="2A5C0C64" w14:textId="6CA38431" w:rsidR="003D7298" w:rsidRPr="00E07217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 xml:space="preserve">Registro de Inventario Permanente Valorizado (Kardex): Reporte detallado de los movimientos de inventario físico valorizados bajo las metodologías de valuación permitidas por la SUNAT, con filtros dinámicos por almacén, centro y </w:t>
      </w:r>
      <w:proofErr w:type="spellStart"/>
      <w:r>
        <w:rPr>
          <w:rFonts w:ascii="Segoe UI" w:hAnsi="Segoe UI"/>
          <w:color w:val="32363A"/>
        </w:rPr>
        <w:t>código</w:t>
      </w:r>
      <w:proofErr w:type="spellEnd"/>
      <w:r>
        <w:rPr>
          <w:rFonts w:ascii="Segoe UI" w:hAnsi="Segoe UI"/>
          <w:color w:val="32363A"/>
        </w:rPr>
        <w:t xml:space="preserve"> de material.</w:t>
      </w:r>
    </w:p>
    <w:p w14:paraId="58133021" w14:textId="77777777" w:rsidR="00E07217" w:rsidRPr="00E07217" w:rsidRDefault="00E07217" w:rsidP="00E07217">
      <w:pPr>
        <w:pStyle w:val="Listaconvietas"/>
        <w:numPr>
          <w:ilvl w:val="0"/>
          <w:numId w:val="0"/>
        </w:numPr>
        <w:spacing w:before="60" w:after="60"/>
        <w:ind w:left="360"/>
      </w:pPr>
    </w:p>
    <w:p w14:paraId="195ACF87" w14:textId="4264BCF9" w:rsidR="00E07217" w:rsidRDefault="00E07217" w:rsidP="00E07217">
      <w:pPr>
        <w:pStyle w:val="Listaconvietas"/>
        <w:numPr>
          <w:ilvl w:val="0"/>
          <w:numId w:val="0"/>
        </w:numPr>
        <w:spacing w:before="60" w:after="60"/>
        <w:ind w:left="360"/>
      </w:pPr>
      <w:r w:rsidRPr="00E07217">
        <w:drawing>
          <wp:inline distT="0" distB="0" distL="0" distR="0" wp14:anchorId="2DB26404" wp14:editId="717C2787">
            <wp:extent cx="6201000" cy="30289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6395" cy="30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201C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4.3. Mó</w:t>
      </w:r>
      <w:r>
        <w:rPr>
          <w:rFonts w:ascii="Segoe UI" w:hAnsi="Segoe UI"/>
          <w:b/>
          <w:color w:val="0A1D37"/>
          <w:sz w:val="26"/>
        </w:rPr>
        <w:t>dulo: Declaraciones y PDT SUNAT</w:t>
      </w:r>
    </w:p>
    <w:p w14:paraId="3E60AC76" w14:textId="77777777" w:rsidR="003D7298" w:rsidRDefault="006802F7">
      <w:pPr>
        <w:spacing w:before="80" w:after="80"/>
      </w:pPr>
      <w:r>
        <w:rPr>
          <w:rFonts w:ascii="Segoe UI" w:hAnsi="Segoe UI"/>
          <w:color w:val="32363A"/>
        </w:rPr>
        <w:t>Facilita la consolidación mensual y anual de datos operativos y de nómina para cargarlos con un clic en los sistemas informáticos de la SUNAT.</w:t>
      </w:r>
    </w:p>
    <w:p w14:paraId="1DC4FFFD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lastRenderedPageBreak/>
        <w:t>Generador PDT 0601 (Planilla Electrónica - PLAME): Interfaz para la descarga estr</w:t>
      </w:r>
      <w:r>
        <w:rPr>
          <w:rFonts w:ascii="Segoe UI" w:hAnsi="Segoe UI"/>
          <w:color w:val="32363A"/>
        </w:rPr>
        <w:t>ucturada de retenciones de cuarta categoría (recibos por honorarios de SAP FI) e información de personal para alimentación de la PLAME.</w:t>
      </w:r>
    </w:p>
    <w:p w14:paraId="299D4D93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 xml:space="preserve">Generador PDT 0626 (Agentes de Retención): Emisión automatizada del consolidado de retenciones mensuales para sustentar </w:t>
      </w:r>
      <w:r>
        <w:rPr>
          <w:rFonts w:ascii="Segoe UI" w:hAnsi="Segoe UI"/>
          <w:color w:val="32363A"/>
        </w:rPr>
        <w:t>la declaración de pagos efectuados.</w:t>
      </w:r>
    </w:p>
    <w:p w14:paraId="12B5D0E1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Generador PDT 0617 (Otras Retenciones): Generación de reportes de retenciones por operaciones de financiamiento, dividendos, no domiciliados y otras retenciones del impuesto a la renta.</w:t>
      </w:r>
    </w:p>
    <w:p w14:paraId="641AFE5C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Generador PDT 0710 (Balance de Com</w:t>
      </w:r>
      <w:r>
        <w:rPr>
          <w:rFonts w:ascii="Segoe UI" w:hAnsi="Segoe UI"/>
          <w:color w:val="32363A"/>
        </w:rPr>
        <w:t>probación Anual): Genera el reporte anual estructurado de cuentas de balance y de resultados listo para la declaración jurada anual.</w:t>
      </w:r>
    </w:p>
    <w:p w14:paraId="7A9CF938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4.4. Módulo: Gestión de Detracciones y Retenciones</w:t>
      </w:r>
    </w:p>
    <w:p w14:paraId="7311C576" w14:textId="77777777" w:rsidR="003D7298" w:rsidRDefault="006802F7">
      <w:pPr>
        <w:spacing w:before="80" w:after="80"/>
      </w:pPr>
      <w:r>
        <w:rPr>
          <w:rFonts w:ascii="Segoe UI" w:hAnsi="Segoe UI"/>
          <w:color w:val="32363A"/>
        </w:rPr>
        <w:t>Automatiza la gestión de cobros y pagos especiales bajo los regímenes de</w:t>
      </w:r>
      <w:r>
        <w:rPr>
          <w:rFonts w:ascii="Segoe UI" w:hAnsi="Segoe UI"/>
          <w:color w:val="32363A"/>
        </w:rPr>
        <w:t xml:space="preserve"> retenciones y detracciones peruanas, reduciendo significativamente la carga administrativa manual.</w:t>
      </w:r>
    </w:p>
    <w:p w14:paraId="0BD14445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Monitor de Detracciones por Pagar (Proveedores): Identifica de forma proactiva todas las obligaciones sujetas al Sistema de Pago de Obligaciones Tributarias</w:t>
      </w:r>
      <w:r>
        <w:rPr>
          <w:rFonts w:ascii="Segoe UI" w:hAnsi="Segoe UI"/>
          <w:color w:val="32363A"/>
        </w:rPr>
        <w:t xml:space="preserve"> (SPOT). Permite consolidar lotes de detracciones, exportar el archivo plano estructurado para su carga y pago masivo en el Banco de la Nación, y registrar de forma automática las constancias de pago devueltas por el banco en cada documento contable de SAP</w:t>
      </w:r>
      <w:r>
        <w:rPr>
          <w:rFonts w:ascii="Segoe UI" w:hAnsi="Segoe UI"/>
          <w:color w:val="32363A"/>
        </w:rPr>
        <w:t>.</w:t>
      </w:r>
    </w:p>
    <w:p w14:paraId="7634BD0A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Monitor de Autodetracciones (Clientes): Control centralizado de cobranzas sujetas a detracción, validando que el cliente haya realizado el depósito correspondiente antes de la liberación final del saldo.</w:t>
      </w:r>
    </w:p>
    <w:p w14:paraId="60452EC1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Monitor de Retenciones Electrónicas Integradas con</w:t>
      </w:r>
      <w:r>
        <w:rPr>
          <w:rFonts w:ascii="Segoe UI" w:hAnsi="Segoe UI"/>
          <w:color w:val="32363A"/>
        </w:rPr>
        <w:t xml:space="preserve"> SUNAT: Emite de forma masiva y digital los Comprobantes de Retención Electrónica (CRE) tras procesarse los pagos a proveedores retenedores. Realiza la firma digital, el envío al OSE/SUNAT en tiempo real y despacha los archivos PDF y XML generados al prove</w:t>
      </w:r>
      <w:r>
        <w:rPr>
          <w:rFonts w:ascii="Segoe UI" w:hAnsi="Segoe UI"/>
          <w:color w:val="32363A"/>
        </w:rPr>
        <w:t>edor de manera automática.</w:t>
      </w:r>
    </w:p>
    <w:p w14:paraId="591F8159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4.5. Módulo: Padrones y Tesorería</w:t>
      </w:r>
    </w:p>
    <w:p w14:paraId="28B20801" w14:textId="77777777" w:rsidR="003D7298" w:rsidRDefault="006802F7">
      <w:pPr>
        <w:spacing w:before="80" w:after="80"/>
      </w:pPr>
      <w:r>
        <w:rPr>
          <w:rFonts w:ascii="Segoe UI" w:hAnsi="Segoe UI"/>
          <w:color w:val="32363A"/>
        </w:rPr>
        <w:t>Permite realizar validaciones preventivas contra los padrones de SUNAT e integrar los movimientos bancarios para asegurar una tesorería saludable y libre de riesgos.</w:t>
      </w:r>
    </w:p>
    <w:p w14:paraId="50E9CB94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Actualización de Padrones SUN</w:t>
      </w:r>
      <w:r>
        <w:rPr>
          <w:rFonts w:ascii="Segoe UI" w:hAnsi="Segoe UI"/>
          <w:color w:val="32363A"/>
        </w:rPr>
        <w:t>AT: Herramienta que descarga y carga periódicamente las bases de datos de Buen Contribuyente, Agente de Retención/Percepción y, principalmente, el padrón de contribuyentes 'No Habidos'. Realiza validaciones automáticas al registrar facturas o pagos, bloque</w:t>
      </w:r>
      <w:r>
        <w:rPr>
          <w:rFonts w:ascii="Segoe UI" w:hAnsi="Segoe UI"/>
          <w:color w:val="32363A"/>
        </w:rPr>
        <w:t>ando transacciones sospechosas que impidan la deducción del gasto o del crédito fiscal.</w:t>
      </w:r>
    </w:p>
    <w:p w14:paraId="3433D5F7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lastRenderedPageBreak/>
        <w:t>Gestión de Pago a Proveedores:</w:t>
      </w:r>
      <w:r>
        <w:rPr>
          <w:rFonts w:ascii="Segoe UI" w:hAnsi="Segoe UI"/>
          <w:color w:val="32363A"/>
        </w:rPr>
        <w:t xml:space="preserve"> Generación masiva de archivos de pago estructurados según las especificaciones técnicas de la banca nacional (TXT y planillas Excel para BCP, BBVA, Scotiabank e Interbank).</w:t>
      </w:r>
    </w:p>
    <w:p w14:paraId="43A43F78" w14:textId="0B76ECC5" w:rsidR="003D7298" w:rsidRPr="00E07217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Extractos Bancarios y Reporte de Conciliación Bancaria: Importa de forma automatiz</w:t>
      </w:r>
      <w:r>
        <w:rPr>
          <w:rFonts w:ascii="Segoe UI" w:hAnsi="Segoe UI"/>
          <w:color w:val="32363A"/>
        </w:rPr>
        <w:t xml:space="preserve">ada los extractos bancarios del día (MultiCash/MT940). Cuenta con un dashboard de conciliación visual en Fiori que aplica reglas lógicas de autoconciliación (por fecha, importe, código de operación) y permite realizar conciliaciones manuales de partidas </w:t>
      </w:r>
      <w:proofErr w:type="spellStart"/>
      <w:r>
        <w:rPr>
          <w:rFonts w:ascii="Segoe UI" w:hAnsi="Segoe UI"/>
          <w:color w:val="32363A"/>
        </w:rPr>
        <w:t>co</w:t>
      </w:r>
      <w:r>
        <w:rPr>
          <w:rFonts w:ascii="Segoe UI" w:hAnsi="Segoe UI"/>
          <w:color w:val="32363A"/>
        </w:rPr>
        <w:t>mplejas</w:t>
      </w:r>
      <w:proofErr w:type="spellEnd"/>
      <w:r>
        <w:rPr>
          <w:rFonts w:ascii="Segoe UI" w:hAnsi="Segoe UI"/>
          <w:color w:val="32363A"/>
        </w:rPr>
        <w:t xml:space="preserve"> mediante </w:t>
      </w:r>
      <w:proofErr w:type="spellStart"/>
      <w:r>
        <w:rPr>
          <w:rFonts w:ascii="Segoe UI" w:hAnsi="Segoe UI"/>
          <w:color w:val="32363A"/>
        </w:rPr>
        <w:t>filtros</w:t>
      </w:r>
      <w:proofErr w:type="spellEnd"/>
      <w:r>
        <w:rPr>
          <w:rFonts w:ascii="Segoe UI" w:hAnsi="Segoe UI"/>
          <w:color w:val="32363A"/>
        </w:rPr>
        <w:t xml:space="preserve"> </w:t>
      </w:r>
      <w:proofErr w:type="spellStart"/>
      <w:r>
        <w:rPr>
          <w:rFonts w:ascii="Segoe UI" w:hAnsi="Segoe UI"/>
          <w:color w:val="32363A"/>
        </w:rPr>
        <w:t>avanzados</w:t>
      </w:r>
      <w:proofErr w:type="spellEnd"/>
      <w:r>
        <w:rPr>
          <w:rFonts w:ascii="Segoe UI" w:hAnsi="Segoe UI"/>
          <w:color w:val="32363A"/>
        </w:rPr>
        <w:t>.</w:t>
      </w:r>
    </w:p>
    <w:p w14:paraId="6C660393" w14:textId="20A41F95" w:rsidR="00E07217" w:rsidRDefault="00E07217" w:rsidP="00E07217">
      <w:pPr>
        <w:pStyle w:val="Listaconvietas"/>
        <w:numPr>
          <w:ilvl w:val="0"/>
          <w:numId w:val="0"/>
        </w:numPr>
        <w:spacing w:before="60" w:after="60"/>
        <w:ind w:left="360" w:hanging="360"/>
        <w:rPr>
          <w:rFonts w:ascii="Segoe UI" w:hAnsi="Segoe UI"/>
          <w:color w:val="32363A"/>
        </w:rPr>
      </w:pPr>
    </w:p>
    <w:p w14:paraId="535C504C" w14:textId="063D1EE6" w:rsidR="00E07217" w:rsidRDefault="00E07217" w:rsidP="00E07217">
      <w:pPr>
        <w:pStyle w:val="Listaconvietas"/>
        <w:numPr>
          <w:ilvl w:val="0"/>
          <w:numId w:val="0"/>
        </w:numPr>
        <w:spacing w:before="60" w:after="60"/>
        <w:ind w:left="360" w:hanging="360"/>
      </w:pPr>
      <w:r w:rsidRPr="00E07217">
        <w:drawing>
          <wp:inline distT="0" distB="0" distL="0" distR="0" wp14:anchorId="71D7209D" wp14:editId="3CFF3EE9">
            <wp:extent cx="5943600" cy="29438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B72A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t>5. Metodología de Implementación (SAP Activate)</w:t>
      </w:r>
    </w:p>
    <w:p w14:paraId="68366E31" w14:textId="77777777" w:rsidR="003D7298" w:rsidRDefault="006802F7">
      <w:pPr>
        <w:spacing w:before="80" w:after="120"/>
      </w:pPr>
      <w:r>
        <w:rPr>
          <w:rFonts w:ascii="Segoe UI" w:hAnsi="Segoe UI"/>
          <w:color w:val="32363A"/>
        </w:rPr>
        <w:t>Para garantizar un proyecto estructurado, dentro de los plazos establecidos y bajo los estándares globales de calidad, adoptamos la metodología ágil oficial de SAP denomina</w:t>
      </w:r>
      <w:r>
        <w:rPr>
          <w:rFonts w:ascii="Segoe UI" w:hAnsi="Segoe UI"/>
          <w:color w:val="32363A"/>
        </w:rPr>
        <w:t>da SAP Activate. El proyecto se segmenta en seis fases diferenciadas:</w:t>
      </w:r>
    </w:p>
    <w:p w14:paraId="0B2E46E3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Fase 1: Discover (Descubrimiento): Demostración inicial del producto estándar, revisión técnica preliminar de la versión del ERP (S/4HANA o ECC) y verificación de los accesos iniciales.</w:t>
      </w:r>
    </w:p>
    <w:p w14:paraId="09623A53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Fase 2: Prepare (Preparación): Alineamiento del plan de trabajo definitivo, definición de los equipos asignados (partner y cliente), kick-off formal y habilitación técnica de los entornos de desarrollo sandbox y gateway.</w:t>
      </w:r>
    </w:p>
    <w:p w14:paraId="18643D0C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Fase 3: Explore (Exploración / Tall</w:t>
      </w:r>
      <w:r>
        <w:rPr>
          <w:rFonts w:ascii="Segoe UI" w:hAnsi="Segoe UI"/>
          <w:color w:val="32363A"/>
        </w:rPr>
        <w:t>eres Fit-Standard): Workshops funcionales interactivos con los usuarios contables. Se evalúa el plan de cuentas corporativo, se mapean las diferencias de procesos y se genera la lista final de requerimientos específicos y adecuaciones (Backlog).</w:t>
      </w:r>
    </w:p>
    <w:p w14:paraId="5886C65B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lastRenderedPageBreak/>
        <w:t>Fase 4: Re</w:t>
      </w:r>
      <w:r>
        <w:rPr>
          <w:rFonts w:ascii="Segoe UI" w:hAnsi="Segoe UI"/>
          <w:color w:val="32363A"/>
        </w:rPr>
        <w:t>alize (Realización / Configuración y Desarrollo): Parametrización y desarrollo de las vistas CDS en base de datos, habilitación de servicios OData, configuración de pantallas en SAP Fiori Launchpad, pruebas unitarias y ejecución de pruebas de aceptación de</w:t>
      </w:r>
      <w:r>
        <w:rPr>
          <w:rFonts w:ascii="Segoe UI" w:hAnsi="Segoe UI"/>
          <w:color w:val="32363A"/>
        </w:rPr>
        <w:t xml:space="preserve"> usuario (UAT) en ambiente de calidad.</w:t>
      </w:r>
    </w:p>
    <w:p w14:paraId="45747876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Fase 5: Deploy (Despliegue / Go-Live): Pasajes de transportes a ambiente de producción, migración o carga de padrones, capacitaciones de usuario final basadas en manuales, corte contable y salida en vivo oficial.</w:t>
      </w:r>
    </w:p>
    <w:p w14:paraId="203E13D2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Fase</w:t>
      </w:r>
      <w:r>
        <w:rPr>
          <w:rFonts w:ascii="Segoe UI" w:hAnsi="Segoe UI"/>
          <w:color w:val="32363A"/>
        </w:rPr>
        <w:t xml:space="preserve"> 6: Run (Operación / Soporte): Período de acompañamiento post-productivo (hipercare) y traspaso formal de la solución al área de soporte o mantenimiento del cliente.</w:t>
      </w:r>
    </w:p>
    <w:p w14:paraId="088B27AC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t>6. Entregables del Proyecto</w:t>
      </w:r>
    </w:p>
    <w:p w14:paraId="5D7DB6CB" w14:textId="77777777" w:rsidR="003D7298" w:rsidRDefault="006802F7">
      <w:pPr>
        <w:spacing w:before="80" w:after="120"/>
      </w:pPr>
      <w:r>
        <w:rPr>
          <w:rFonts w:ascii="Segoe UI" w:hAnsi="Segoe UI"/>
          <w:color w:val="32363A"/>
        </w:rPr>
        <w:t>A continuación, se detalla la lista de entregables formales qu</w:t>
      </w:r>
      <w:r>
        <w:rPr>
          <w:rFonts w:ascii="Segoe UI" w:hAnsi="Segoe UI"/>
          <w:color w:val="32363A"/>
        </w:rPr>
        <w:t>e el cliente recibirá en cada fase: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3D7298" w14:paraId="548F2F5B" w14:textId="77777777">
        <w:tc>
          <w:tcPr>
            <w:tcW w:w="2160" w:type="dxa"/>
            <w:shd w:val="clear" w:color="auto" w:fill="0A1D37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ADA6443" w14:textId="77777777" w:rsidR="003D7298" w:rsidRDefault="006802F7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Fase (SAP Activate)</w:t>
            </w:r>
          </w:p>
        </w:tc>
        <w:tc>
          <w:tcPr>
            <w:tcW w:w="3168" w:type="dxa"/>
            <w:shd w:val="clear" w:color="auto" w:fill="0A1D37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74521FF" w14:textId="77777777" w:rsidR="003D7298" w:rsidRDefault="006802F7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Entregable Principal</w:t>
            </w:r>
          </w:p>
        </w:tc>
        <w:tc>
          <w:tcPr>
            <w:tcW w:w="4032" w:type="dxa"/>
            <w:shd w:val="clear" w:color="auto" w:fill="0A1D37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23634A9" w14:textId="77777777" w:rsidR="003D7298" w:rsidRDefault="006802F7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Descripción / Formato</w:t>
            </w:r>
          </w:p>
        </w:tc>
      </w:tr>
      <w:tr w:rsidR="003D7298" w14:paraId="0722B706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8887C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Prepare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A909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Plan de Proyecto y Acta de Inicio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6348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Cronograma en MS Project, definición de hitos y matriz de riesgos inicial.</w:t>
            </w:r>
          </w:p>
        </w:tc>
      </w:tr>
      <w:tr w:rsidR="003D7298" w14:paraId="59986616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40A04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Explore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1511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 xml:space="preserve">Documento de Diseño </w:t>
            </w:r>
            <w:r>
              <w:rPr>
                <w:rFonts w:ascii="Segoe UI" w:hAnsi="Segoe UI"/>
                <w:color w:val="32363A"/>
                <w:sz w:val="19"/>
              </w:rPr>
              <w:t>Funcional y Técnico (BBP)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104E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Documento detallado de configuraciones, mapeo de cuentas y diseño OData/Fiori.</w:t>
            </w:r>
          </w:p>
        </w:tc>
      </w:tr>
      <w:tr w:rsidR="003D7298" w14:paraId="4A9C6C83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4D9B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Realize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1790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Suite Configurada y CDS Vistas Activas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CA7F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Sistema configurado en DEV/QAS y reportes listos en Fiori Launchpad.</w:t>
            </w:r>
          </w:p>
        </w:tc>
      </w:tr>
      <w:tr w:rsidR="003D7298" w14:paraId="576E463E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B986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Realize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4502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 xml:space="preserve">Matriz de Pruebas UAT </w:t>
            </w:r>
            <w:r>
              <w:rPr>
                <w:rFonts w:ascii="Segoe UI" w:hAnsi="Segoe UI"/>
                <w:color w:val="32363A"/>
                <w:sz w:val="19"/>
              </w:rPr>
              <w:t>firmada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95D55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Evidencia formal y casos de prueba aprobados por los usuarios contables.</w:t>
            </w:r>
          </w:p>
        </w:tc>
      </w:tr>
      <w:tr w:rsidR="003D7298" w14:paraId="2F557276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937D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Deploy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E985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Manuales de Usuario y Soporte Técnico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A5540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Guías paso a paso de uso de las aplicaciones y documentación de código Z.</w:t>
            </w:r>
          </w:p>
        </w:tc>
      </w:tr>
      <w:tr w:rsidR="003D7298" w14:paraId="3ED1E3C1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D628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Deploy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ACB3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Plan de Transporte y Go-Live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shd w:val="clear" w:color="auto" w:fill="F5F6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25B8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 xml:space="preserve">Secuencia </w:t>
            </w:r>
            <w:r>
              <w:rPr>
                <w:rFonts w:ascii="Segoe UI" w:hAnsi="Segoe UI"/>
                <w:color w:val="32363A"/>
                <w:sz w:val="19"/>
              </w:rPr>
              <w:t>validada de órdenes de transporte y plan de carga inicial en PRD.</w:t>
            </w:r>
          </w:p>
        </w:tc>
      </w:tr>
      <w:tr w:rsidR="003D7298" w14:paraId="681FD875" w14:textId="77777777">
        <w:tc>
          <w:tcPr>
            <w:tcW w:w="2160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29C6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Run</w:t>
            </w:r>
          </w:p>
        </w:tc>
        <w:tc>
          <w:tcPr>
            <w:tcW w:w="3168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E4F6B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Acta de Cierre de Proyecto</w:t>
            </w:r>
          </w:p>
        </w:tc>
        <w:tc>
          <w:tcPr>
            <w:tcW w:w="4032" w:type="dxa"/>
            <w:tcBorders>
              <w:top w:val="single" w:sz="4" w:space="0" w:color="E0E0E0"/>
              <w:bottom w:val="single" w:sz="4" w:space="0" w:color="E0E0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A870" w14:textId="77777777" w:rsidR="003D7298" w:rsidRDefault="006802F7">
            <w:pPr>
              <w:spacing w:after="0"/>
            </w:pPr>
            <w:r>
              <w:rPr>
                <w:rFonts w:ascii="Segoe UI" w:hAnsi="Segoe UI"/>
                <w:color w:val="32363A"/>
                <w:sz w:val="19"/>
              </w:rPr>
              <w:t>Formalización de pase a productivo y transición al equipo de mantenimiento.</w:t>
            </w:r>
          </w:p>
        </w:tc>
      </w:tr>
    </w:tbl>
    <w:p w14:paraId="28BFDF71" w14:textId="77777777" w:rsidR="003D7298" w:rsidRDefault="003D7298"/>
    <w:p w14:paraId="63EBAAD8" w14:textId="77777777" w:rsidR="003D7298" w:rsidRDefault="006802F7">
      <w:pPr>
        <w:keepNext/>
        <w:pBdr>
          <w:bottom w:val="single" w:sz="6" w:space="4" w:color="0070F2"/>
        </w:pBdr>
        <w:spacing w:before="360" w:after="120"/>
      </w:pPr>
      <w:r>
        <w:rPr>
          <w:rFonts w:ascii="Segoe UI" w:hAnsi="Segoe UI"/>
          <w:b/>
          <w:color w:val="0070F2"/>
          <w:sz w:val="32"/>
        </w:rPr>
        <w:lastRenderedPageBreak/>
        <w:t>7. Premisas y Exclusiones</w:t>
      </w:r>
    </w:p>
    <w:p w14:paraId="63061488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7.1. Premisas (Requisitos del Proyecto)</w:t>
      </w:r>
    </w:p>
    <w:p w14:paraId="7B4E8D1B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 xml:space="preserve">El </w:t>
      </w:r>
      <w:r>
        <w:rPr>
          <w:rFonts w:ascii="Segoe UI" w:hAnsi="Segoe UI"/>
          <w:color w:val="32363A"/>
        </w:rPr>
        <w:t>cliente garantizará la disponibilidad oportuna de los ambientes SAP (DEV, QAS, PRD) y otorgará accesos de nivel Administrador / Consultor al SAP Fiori Frontend Server, Gateway y Backend.</w:t>
      </w:r>
    </w:p>
    <w:p w14:paraId="0F882DA3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Es responsabilidad del cliente la limpieza y homologación de sus dato</w:t>
      </w:r>
      <w:r>
        <w:rPr>
          <w:rFonts w:ascii="Segoe UI" w:hAnsi="Segoe UI"/>
          <w:color w:val="32363A"/>
        </w:rPr>
        <w:t>s maestros (RUCs válidos de clientes/proveedores, cuentas asignadas a centros de costo, códigos de banco nacionales).</w:t>
      </w:r>
    </w:p>
    <w:p w14:paraId="764B7E2F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El cliente proporcionará los accesos oficiales a la plataforma de pruebas y producción de SUNAT y su Proveedor OSE contratado.</w:t>
      </w:r>
    </w:p>
    <w:p w14:paraId="4934C536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Los Key Use</w:t>
      </w:r>
      <w:r>
        <w:rPr>
          <w:rFonts w:ascii="Segoe UI" w:hAnsi="Segoe UI"/>
          <w:color w:val="32363A"/>
        </w:rPr>
        <w:t>rs (Usuarios Clave) asignados participarán activamente en las sesiones de Explore (Talleres) y tendrán dedicación exclusiva para la ejecución de pruebas UAT en la fase Realize.</w:t>
      </w:r>
    </w:p>
    <w:p w14:paraId="087E9771" w14:textId="77777777" w:rsidR="003D7298" w:rsidRDefault="006802F7">
      <w:pPr>
        <w:keepNext/>
        <w:spacing w:before="280" w:after="80"/>
      </w:pPr>
      <w:r>
        <w:rPr>
          <w:rFonts w:ascii="Segoe UI" w:hAnsi="Segoe UI"/>
          <w:b/>
          <w:color w:val="0A1D37"/>
          <w:sz w:val="26"/>
        </w:rPr>
        <w:t>7.2. Exclusiones</w:t>
      </w:r>
    </w:p>
    <w:p w14:paraId="7B846FF6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Adquisición de licencias de software SAP, bases de datos HANA,</w:t>
      </w:r>
      <w:r>
        <w:rPr>
          <w:rFonts w:ascii="Segoe UI" w:hAnsi="Segoe UI"/>
          <w:color w:val="32363A"/>
        </w:rPr>
        <w:t xml:space="preserve"> servicios SAP Cloud Platform u otras licencias de terceros.</w:t>
      </w:r>
    </w:p>
    <w:p w14:paraId="22C82D20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Desarrollo o corrección de programas Z ajenos al alcance de la Suite de Localización de Libros Legales.</w:t>
      </w:r>
    </w:p>
    <w:p w14:paraId="7477E8BB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Configuraciones de procesos contables estándar de SAP FI (ej. parametrización de cuentas co</w:t>
      </w:r>
      <w:r>
        <w:rPr>
          <w:rFonts w:ascii="Segoe UI" w:hAnsi="Segoe UI"/>
          <w:color w:val="32363A"/>
        </w:rPr>
        <w:t>ntables faltantes, procesos de depreciación de activos fijos estándar mal configurados).</w:t>
      </w:r>
    </w:p>
    <w:p w14:paraId="37285268" w14:textId="77777777" w:rsidR="003D7298" w:rsidRDefault="006802F7">
      <w:pPr>
        <w:pStyle w:val="Listaconvietas"/>
        <w:spacing w:before="60" w:after="60"/>
      </w:pPr>
      <w:r>
        <w:rPr>
          <w:rFonts w:ascii="Segoe UI" w:hAnsi="Segoe UI"/>
          <w:color w:val="32363A"/>
        </w:rPr>
        <w:t>Desarrollo de integraciones con sistemas ERP legados u otros sistemas ajenos a SUNAT/OSE/Bancos nacionales indicados.</w:t>
      </w:r>
    </w:p>
    <w:sectPr w:rsidR="003D7298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792CD" w14:textId="77777777" w:rsidR="006802F7" w:rsidRDefault="006802F7">
      <w:pPr>
        <w:spacing w:after="0" w:line="240" w:lineRule="auto"/>
      </w:pPr>
      <w:r>
        <w:separator/>
      </w:r>
    </w:p>
  </w:endnote>
  <w:endnote w:type="continuationSeparator" w:id="0">
    <w:p w14:paraId="5AB3A93C" w14:textId="77777777" w:rsidR="006802F7" w:rsidRDefault="00680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BC4B4" w14:textId="77777777" w:rsidR="003D7298" w:rsidRDefault="006802F7">
    <w:pPr>
      <w:pStyle w:val="Piedepgina"/>
      <w:jc w:val="center"/>
    </w:pPr>
    <w:r>
      <w:rPr>
        <w:rFonts w:ascii="Segoe UI" w:hAnsi="Segoe UI"/>
        <w:color w:val="999999"/>
        <w:sz w:val="17"/>
      </w:rPr>
      <w:t>Propuesta Comercial de Solución SAP HANA -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89878" w14:textId="77777777" w:rsidR="006802F7" w:rsidRDefault="006802F7">
      <w:pPr>
        <w:spacing w:after="0" w:line="240" w:lineRule="auto"/>
      </w:pPr>
      <w:r>
        <w:separator/>
      </w:r>
    </w:p>
  </w:footnote>
  <w:footnote w:type="continuationSeparator" w:id="0">
    <w:p w14:paraId="4F108442" w14:textId="77777777" w:rsidR="006802F7" w:rsidRDefault="00680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77D0A" w14:textId="1D316AB0" w:rsidR="003D7298" w:rsidRDefault="00E07217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D6B3EA" wp14:editId="7C76254F">
          <wp:simplePos x="0" y="0"/>
          <wp:positionH relativeFrom="column">
            <wp:posOffset>6105525</wp:posOffset>
          </wp:positionH>
          <wp:positionV relativeFrom="paragraph">
            <wp:posOffset>-219075</wp:posOffset>
          </wp:positionV>
          <wp:extent cx="552534" cy="5429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2534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B6C2A">
      <w:rPr>
        <w:rFonts w:ascii="Segoe UI" w:hAnsi="Segoe UI"/>
        <w:color w:val="999999"/>
        <w:sz w:val="17"/>
      </w:rPr>
      <w:t>Droid Consulting –</w:t>
    </w:r>
    <w:r w:rsidR="006802F7">
      <w:rPr>
        <w:rFonts w:ascii="Segoe UI" w:hAnsi="Segoe UI"/>
        <w:color w:val="999999"/>
        <w:sz w:val="17"/>
      </w:rPr>
      <w:t xml:space="preserve"> </w:t>
    </w:r>
    <w:r w:rsidR="005B6C2A">
      <w:rPr>
        <w:rFonts w:ascii="Segoe UI" w:hAnsi="Segoe UI"/>
        <w:color w:val="999999"/>
        <w:sz w:val="17"/>
      </w:rPr>
      <w:t>Libros Legales</w:t>
    </w:r>
    <w:r w:rsidR="006802F7">
      <w:rPr>
        <w:rFonts w:ascii="Segoe UI" w:hAnsi="Segoe UI"/>
        <w:color w:val="999999"/>
        <w:sz w:val="17"/>
      </w:rPr>
      <w:t xml:space="preserve"> | Documento de Alcance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298"/>
    <w:rsid w:val="005B6C2A"/>
    <w:rsid w:val="006802F7"/>
    <w:rsid w:val="00AA1D8D"/>
    <w:rsid w:val="00B47730"/>
    <w:rsid w:val="00CB0664"/>
    <w:rsid w:val="00E072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4B5C384"/>
  <w14:defaultImageDpi w14:val="300"/>
  <w15:docId w15:val="{284D3C51-0E60-4F78-9284-A9C468DF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2122</Words>
  <Characters>11671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Proyecto SAP Regional  - QUI - IBP</cp:lastModifiedBy>
  <cp:revision>2</cp:revision>
  <dcterms:created xsi:type="dcterms:W3CDTF">2013-12-23T23:15:00Z</dcterms:created>
  <dcterms:modified xsi:type="dcterms:W3CDTF">2026-07-24T02:00:00Z</dcterms:modified>
  <cp:category/>
</cp:coreProperties>
</file>