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00"/>
      </w:pPr>
      <w:r>
        <w:rPr>
          <w:rFonts w:ascii="Segoe UI" w:hAnsi="Segoe UI"/>
          <w:b/>
          <w:color w:val="0070F2"/>
          <w:sz w:val="22"/>
        </w:rPr>
        <w:t>PROPUESTA TÉCNICO-COMERCIAL  |  SAP S/4HANA &amp; FIORI</w:t>
      </w:r>
    </w:p>
    <w:p>
      <w:pPr>
        <w:spacing w:before="0" w:after="240"/>
      </w:pPr>
      <w:r>
        <w:rPr>
          <w:rFonts w:ascii="Segoe UI" w:hAnsi="Segoe UI"/>
          <w:b/>
          <w:color w:val="102542"/>
          <w:sz w:val="48"/>
        </w:rPr>
        <w:t>Suite Integral de Automatización Tributaria, Localización Perú y Conectividad Bancaria Host to Web</w:t>
      </w:r>
    </w:p>
    <w:p>
      <w:pPr>
        <w:spacing w:before="0" w:after="600"/>
      </w:pPr>
      <w:r>
        <w:rPr>
          <w:rFonts w:ascii="Segoe UI" w:hAnsi="Segoe UI"/>
          <w:color w:val="64748B"/>
          <w:sz w:val="24"/>
        </w:rPr>
        <w:t>Optimización integral de procesos fiscales SUNAT (PLE, SIRE, SSCO, Embargos), gestión automatizada de impuestos (Retenciones CxC y Percepciones CxP) y pagos masivos desatendidos con bancos (BBVA, Interbank, BCP, Banbif).</w:t>
      </w:r>
    </w:p>
    <w:tbl>
      <w:tblPr>
        <w:tblW w:type="auto" w:w="0"/>
        <w:jc w:val="center"/>
        <w:tblLook w:firstColumn="1" w:firstRow="1" w:lastColumn="0" w:lastRow="0" w:noHBand="0" w:noVBand="1" w:val="04A0"/>
      </w:tblPr>
      <w:tblGrid>
        <w:gridCol w:w="4824"/>
        <w:gridCol w:w="4824"/>
      </w:tblGrid>
      <w:tr>
        <w:tc>
          <w:tcPr>
            <w:tcW w:type="dxa" w:w="3168"/>
            <w:shd w:fill="F4F7FB"/>
            <w:tcMar>
              <w:top w:w="60" w:type="dxa"/>
              <w:bottom w:w="60" w:type="dxa"/>
              <w:left w:w="100" w:type="dxa"/>
              <w:right w:w="100" w:type="dxa"/>
            </w:tcMar>
            <w:tcBorders>
              <w:top w:val="none"/>
              <w:bottom w:val="single" w:sz="4" w:space="0" w:color="E2E8F0"/>
              <w:left w:val="none"/>
              <w:right w:val="none"/>
            </w:tcBorders>
          </w:tcPr>
          <w:p>
            <w:pPr>
              <w:spacing w:after="40"/>
            </w:pPr>
            <w:r>
              <w:rPr>
                <w:rFonts w:ascii="Segoe UI" w:hAnsi="Segoe UI"/>
                <w:b/>
                <w:color w:val="102542"/>
                <w:sz w:val="19"/>
              </w:rPr>
              <w:t>Cliente Destinatario:</w:t>
            </w:r>
          </w:p>
        </w:tc>
        <w:tc>
          <w:tcPr>
            <w:tcW w:type="dxa" w:w="6480"/>
            <w:shd w:fill="F4F7FB"/>
            <w:tcMar>
              <w:top w:w="60" w:type="dxa"/>
              <w:bottom w:w="60" w:type="dxa"/>
              <w:left w:w="100" w:type="dxa"/>
              <w:right w:w="100" w:type="dxa"/>
            </w:tcMar>
            <w:tcBorders>
              <w:top w:val="none"/>
              <w:bottom w:val="single" w:sz="4" w:space="0" w:color="E2E8F0"/>
              <w:left w:val="none"/>
              <w:right w:val="none"/>
            </w:tcBorders>
          </w:tcPr>
          <w:p>
            <w:pPr>
              <w:spacing w:after="40"/>
            </w:pPr>
            <w:r>
              <w:rPr>
                <w:rFonts w:ascii="Segoe UI" w:hAnsi="Segoe UI"/>
                <w:color w:val="1E293B"/>
                <w:sz w:val="19"/>
              </w:rPr>
              <w:t>Corporación Rokys / Dirección de Administración y Finanzas</w:t>
            </w:r>
          </w:p>
        </w:tc>
      </w:tr>
      <w:tr>
        <w:tc>
          <w:tcPr>
            <w:tcW w:type="dxa" w:w="3168"/>
            <w:shd w:fill="F4F7FB"/>
            <w:tcMar>
              <w:top w:w="60" w:type="dxa"/>
              <w:bottom w:w="60" w:type="dxa"/>
              <w:left w:w="100" w:type="dxa"/>
              <w:right w:w="100" w:type="dxa"/>
            </w:tcMar>
            <w:tcBorders>
              <w:top w:val="none"/>
              <w:bottom w:val="single" w:sz="4" w:space="0" w:color="E2E8F0"/>
              <w:left w:val="none"/>
              <w:right w:val="none"/>
            </w:tcBorders>
          </w:tcPr>
          <w:p>
            <w:pPr>
              <w:spacing w:after="40"/>
            </w:pPr>
            <w:r>
              <w:rPr>
                <w:rFonts w:ascii="Segoe UI" w:hAnsi="Segoe UI"/>
                <w:b/>
                <w:color w:val="102542"/>
                <w:sz w:val="19"/>
              </w:rPr>
              <w:t>Proveedor Tecnológico:</w:t>
            </w:r>
          </w:p>
        </w:tc>
        <w:tc>
          <w:tcPr>
            <w:tcW w:type="dxa" w:w="6480"/>
            <w:shd w:fill="F4F7FB"/>
            <w:tcMar>
              <w:top w:w="60" w:type="dxa"/>
              <w:bottom w:w="60" w:type="dxa"/>
              <w:left w:w="100" w:type="dxa"/>
              <w:right w:w="100" w:type="dxa"/>
            </w:tcMar>
            <w:tcBorders>
              <w:top w:val="none"/>
              <w:bottom w:val="single" w:sz="4" w:space="0" w:color="E2E8F0"/>
              <w:left w:val="none"/>
              <w:right w:val="none"/>
            </w:tcBorders>
          </w:tcPr>
          <w:p>
            <w:pPr>
              <w:spacing w:after="40"/>
            </w:pPr>
            <w:r>
              <w:rPr>
                <w:rFonts w:ascii="Segoe UI" w:hAnsi="Segoe UI"/>
                <w:color w:val="1E293B"/>
                <w:sz w:val="19"/>
              </w:rPr>
              <w:t>DROID Consulting TI (Especialistas en Ecosistemas SAP &amp; Cloud)</w:t>
            </w:r>
          </w:p>
        </w:tc>
      </w:tr>
      <w:tr>
        <w:tc>
          <w:tcPr>
            <w:tcW w:type="dxa" w:w="3168"/>
            <w:shd w:fill="F4F7FB"/>
            <w:tcMar>
              <w:top w:w="60" w:type="dxa"/>
              <w:bottom w:w="60" w:type="dxa"/>
              <w:left w:w="100" w:type="dxa"/>
              <w:right w:w="100" w:type="dxa"/>
            </w:tcMar>
            <w:tcBorders>
              <w:top w:val="none"/>
              <w:bottom w:val="single" w:sz="4" w:space="0" w:color="E2E8F0"/>
              <w:left w:val="none"/>
              <w:right w:val="none"/>
            </w:tcBorders>
          </w:tcPr>
          <w:p>
            <w:pPr>
              <w:spacing w:after="40"/>
            </w:pPr>
            <w:r>
              <w:rPr>
                <w:rFonts w:ascii="Segoe UI" w:hAnsi="Segoe UI"/>
                <w:b/>
                <w:color w:val="102542"/>
                <w:sz w:val="19"/>
              </w:rPr>
              <w:t>Alcance Tecnológico:</w:t>
            </w:r>
          </w:p>
        </w:tc>
        <w:tc>
          <w:tcPr>
            <w:tcW w:type="dxa" w:w="6480"/>
            <w:shd w:fill="F4F7FB"/>
            <w:tcMar>
              <w:top w:w="60" w:type="dxa"/>
              <w:bottom w:w="60" w:type="dxa"/>
              <w:left w:w="100" w:type="dxa"/>
              <w:right w:w="100" w:type="dxa"/>
            </w:tcMar>
            <w:tcBorders>
              <w:top w:val="none"/>
              <w:bottom w:val="single" w:sz="4" w:space="0" w:color="E2E8F0"/>
              <w:left w:val="none"/>
              <w:right w:val="none"/>
            </w:tcBorders>
          </w:tcPr>
          <w:p>
            <w:pPr>
              <w:spacing w:after="40"/>
            </w:pPr>
            <w:r>
              <w:rPr>
                <w:rFonts w:ascii="Segoe UI" w:hAnsi="Segoe UI"/>
                <w:color w:val="1E293B"/>
                <w:sz w:val="19"/>
              </w:rPr>
              <w:t>SAP S/4HANA On-Premise / Private Cloud, SAP Fiori Horizons &amp; SAP CPI</w:t>
            </w:r>
          </w:p>
        </w:tc>
      </w:tr>
      <w:tr>
        <w:tc>
          <w:tcPr>
            <w:tcW w:type="dxa" w:w="3168"/>
            <w:shd w:fill="F4F7FB"/>
            <w:tcMar>
              <w:top w:w="60" w:type="dxa"/>
              <w:bottom w:w="60" w:type="dxa"/>
              <w:left w:w="100" w:type="dxa"/>
              <w:right w:w="100" w:type="dxa"/>
            </w:tcMar>
            <w:tcBorders>
              <w:top w:val="none"/>
              <w:bottom w:val="single" w:sz="4" w:space="0" w:color="E2E8F0"/>
              <w:left w:val="none"/>
              <w:right w:val="none"/>
            </w:tcBorders>
          </w:tcPr>
          <w:p>
            <w:pPr>
              <w:spacing w:after="40"/>
            </w:pPr>
            <w:r>
              <w:rPr>
                <w:rFonts w:ascii="Segoe UI" w:hAnsi="Segoe UI"/>
                <w:b/>
                <w:color w:val="102542"/>
                <w:sz w:val="19"/>
              </w:rPr>
              <w:t>Versión de Propuesta:</w:t>
            </w:r>
          </w:p>
        </w:tc>
        <w:tc>
          <w:tcPr>
            <w:tcW w:type="dxa" w:w="6480"/>
            <w:shd w:fill="F4F7FB"/>
            <w:tcMar>
              <w:top w:w="60" w:type="dxa"/>
              <w:bottom w:w="60" w:type="dxa"/>
              <w:left w:w="100" w:type="dxa"/>
              <w:right w:w="100" w:type="dxa"/>
            </w:tcMar>
            <w:tcBorders>
              <w:top w:val="none"/>
              <w:bottom w:val="single" w:sz="4" w:space="0" w:color="E2E8F0"/>
              <w:left w:val="none"/>
              <w:right w:val="none"/>
            </w:tcBorders>
          </w:tcPr>
          <w:p>
            <w:pPr>
              <w:spacing w:after="40"/>
            </w:pPr>
            <w:r>
              <w:rPr>
                <w:rFonts w:ascii="Segoe UI" w:hAnsi="Segoe UI"/>
                <w:color w:val="1E293B"/>
                <w:sz w:val="19"/>
              </w:rPr>
              <w:t>2.0 Enterprise Optimized (Reemplazo y Optimización de Brechas de Mercado)</w:t>
            </w:r>
          </w:p>
        </w:tc>
      </w:tr>
      <w:tr>
        <w:tc>
          <w:tcPr>
            <w:tcW w:type="dxa" w:w="3168"/>
            <w:shd w:fill="F4F7FB"/>
            <w:tcMar>
              <w:top w:w="60" w:type="dxa"/>
              <w:bottom w:w="60" w:type="dxa"/>
              <w:left w:w="100" w:type="dxa"/>
              <w:right w:w="100" w:type="dxa"/>
            </w:tcMar>
            <w:tcBorders>
              <w:top w:val="none"/>
              <w:bottom w:val="single" w:sz="4" w:space="0" w:color="E2E8F0"/>
              <w:left w:val="none"/>
              <w:right w:val="none"/>
            </w:tcBorders>
          </w:tcPr>
          <w:p>
            <w:pPr>
              <w:spacing w:after="40"/>
            </w:pPr>
            <w:r>
              <w:rPr>
                <w:rFonts w:ascii="Segoe UI" w:hAnsi="Segoe UI"/>
                <w:b/>
                <w:color w:val="102542"/>
                <w:sz w:val="19"/>
              </w:rPr>
              <w:t>Fecha de Emisión:</w:t>
            </w:r>
          </w:p>
        </w:tc>
        <w:tc>
          <w:tcPr>
            <w:tcW w:type="dxa" w:w="6480"/>
            <w:shd w:fill="F4F7FB"/>
            <w:tcMar>
              <w:top w:w="60" w:type="dxa"/>
              <w:bottom w:w="60" w:type="dxa"/>
              <w:left w:w="100" w:type="dxa"/>
              <w:right w:w="100" w:type="dxa"/>
            </w:tcMar>
            <w:tcBorders>
              <w:top w:val="none"/>
              <w:bottom w:val="single" w:sz="4" w:space="0" w:color="E2E8F0"/>
              <w:left w:val="none"/>
              <w:right w:val="none"/>
            </w:tcBorders>
          </w:tcPr>
          <w:p>
            <w:pPr>
              <w:spacing w:after="40"/>
            </w:pPr>
            <w:r>
              <w:rPr>
                <w:rFonts w:ascii="Segoe UI" w:hAnsi="Segoe UI"/>
                <w:color w:val="1E293B"/>
                <w:sz w:val="19"/>
              </w:rPr>
              <w:t>Septiembre 2026</w:t>
            </w:r>
          </w:p>
        </w:tc>
      </w:tr>
    </w:tbl>
    <w:p>
      <w:r>
        <w:br w:type="page"/>
      </w:r>
    </w:p>
    <w:p>
      <w:pPr>
        <w:pStyle w:val="Heading1"/>
        <w:keepNext/>
        <w:spacing w:before="360" w:after="120"/>
      </w:pPr>
      <w:r>
        <w:rPr>
          <w:rFonts w:ascii="Segoe UI" w:hAnsi="Segoe UI"/>
          <w:b/>
          <w:color w:val="102542"/>
          <w:sz w:val="32"/>
        </w:rPr>
        <w:t>1. Resumen Ejecutivo &amp; Enfoque de Valor</w:t>
      </w:r>
    </w:p>
    <w:p>
      <w:pPr>
        <w:spacing w:before="0" w:after="120" w:line="276" w:lineRule="auto"/>
      </w:pPr>
      <w:r>
        <w:rPr>
          <w:rFonts w:ascii="Segoe UI" w:hAnsi="Segoe UI"/>
          <w:b/>
          <w:color w:val="102542"/>
          <w:sz w:val="20"/>
        </w:rPr>
        <w:t xml:space="preserve">El Contexto Actual: </w:t>
      </w:r>
      <w:r>
        <w:rPr>
          <w:rFonts w:ascii="Segoe UI" w:hAnsi="Segoe UI"/>
          <w:color w:val="1E293B"/>
          <w:sz w:val="20"/>
        </w:rPr>
        <w:t>Las organizaciones líderes en el sector retail, consumo masivo y cadenas de restaurantes en el Perú enfrentan un doble desafío crítico: por un lado, una fiscalización digital implacable y permanentemente actualizada por parte de la SUNAT (Sistema Integrado de Registros Electrónicos - SIRE, padrones dinámicos de No Habidos y Sujetos Sin Capacidad Operativa - SSCO, y órdenes de embargo coactivo inmediatas); por otro lado, la necesidad imperiosa de optimizar los flujos de tesorería y pagos bancarios masivos sin fricciones operativas ni reprocesos manuales.</w:t>
      </w:r>
    </w:p>
    <w:p>
      <w:pPr>
        <w:spacing w:before="0" w:after="120" w:line="276" w:lineRule="auto"/>
      </w:pPr>
      <w:r>
        <w:rPr>
          <w:rFonts w:ascii="Segoe UI" w:hAnsi="Segoe UI"/>
          <w:b/>
          <w:color w:val="102542"/>
          <w:sz w:val="20"/>
        </w:rPr>
        <w:t xml:space="preserve">El Enfoque Tradicional vs. DROID: </w:t>
      </w:r>
      <w:r>
        <w:rPr>
          <w:rFonts w:ascii="Segoe UI" w:hAnsi="Segoe UI"/>
          <w:color w:val="1E293B"/>
          <w:sz w:val="20"/>
        </w:rPr>
        <w:t>Tradicionalmente, las consultoras del mercado proponen abordar estas exigencias mediante un conjunto fragmentado de programas a medida ('Objetos Z') desarrollados bajo metodologías desactualizadas. Este enfoque tradicional no solo incrementa drásticamente los costos de consultoría (superando cotizaciones de mercado de USD $56,000), sino que introduce una alta fragilidad técnica, nula integración con la experiencia de usuario moderna y una dependencia innecesaria de desarrollos no certificados.</w:t>
      </w:r>
    </w:p>
    <w:p>
      <w:pPr>
        <w:spacing w:before="0" w:after="120" w:line="276" w:lineRule="auto"/>
      </w:pPr>
      <w:r>
        <w:rPr>
          <w:rFonts w:ascii="Segoe UI" w:hAnsi="Segoe UI"/>
          <w:b/>
          <w:color w:val="102542"/>
          <w:sz w:val="20"/>
        </w:rPr>
        <w:t xml:space="preserve">La Solución Optimizada DROID: </w:t>
      </w:r>
      <w:r>
        <w:rPr>
          <w:rFonts w:ascii="Segoe UI" w:hAnsi="Segoe UI"/>
          <w:color w:val="1E293B"/>
          <w:sz w:val="20"/>
        </w:rPr>
        <w:t>DROID Consulting TI presenta una solución radicalmente superior: la Suite Integral de Automatización Tributaria y Localización Perú para SAP S/4HANA. En lugar de crear programas aislados, DROID entrega un conjunto armónico de aceleradores certificados y probados, diseñados nativamente sobre el modelo universal de datos de SAP (ACDOCA) y desplegados en interfaces modernas SAP Fiori Horizons. Adicionalmente, se incorpora Droid Asistente Virtual, un copiloto con inteligencia artificial especializado en auditoría continua y resolución de consultas fiscales.</w:t>
      </w:r>
    </w:p>
    <w:tbl>
      <w:tblPr>
        <w:tblW w:type="auto" w:w="0"/>
        <w:jc w:val="center"/>
        <w:tblLook w:firstColumn="1" w:firstRow="1" w:lastColumn="0" w:lastRow="0" w:noHBand="0" w:noVBand="1" w:val="04A0"/>
      </w:tblPr>
      <w:tblGrid>
        <w:gridCol w:w="9648"/>
      </w:tblGrid>
      <w:tr>
        <w:tc>
          <w:tcPr>
            <w:tcW w:type="dxa" w:w="9648"/>
            <w:shd w:fill="F4F7FB"/>
            <w:tcBorders>
              <w:top w:val="none"/>
              <w:bottom w:val="none"/>
              <w:left w:val="single" w:sz="24" w:space="0" w:color="0070F2"/>
              <w:right w:val="none"/>
            </w:tcBorders>
            <w:tcMar>
              <w:top w:w="140" w:type="dxa"/>
              <w:bottom w:w="140" w:type="dxa"/>
              <w:left w:w="200" w:type="dxa"/>
              <w:right w:w="200" w:type="dxa"/>
            </w:tcMar>
          </w:tcPr>
          <w:p>
            <w:pPr>
              <w:spacing w:before="40" w:after="80"/>
            </w:pPr>
            <w:r>
              <w:rPr>
                <w:rFonts w:ascii="Segoe UI" w:hAnsi="Segoe UI"/>
                <w:b/>
                <w:color w:val="0070F2"/>
                <w:sz w:val="21"/>
              </w:rPr>
              <w:t xml:space="preserve"> Impacto Cuantificable para el Negocio</w:t>
              <w:br/>
            </w:r>
            <w:r>
              <w:rPr>
                <w:rFonts w:ascii="Segoe UI" w:hAnsi="Segoe UI"/>
                <w:color w:val="1E293B"/>
                <w:sz w:val="19"/>
              </w:rPr>
              <w:t>• Reducción del 100% en contingencias y multas fiscales derivadas de facturas de proveedores observados o no habidos.</w:t>
              <w:br/>
              <w:t>• Automatización del 92% en la reconciliación del SIRE (RCE y RVIE) contra los libros mayores de SAP S/4HANA.</w:t>
              <w:br/>
              <w:t>• Eficiencia de tesorería: Procesamiento desatendido de lotes de pago multibanco (BBVA, Interbank, BCP, Banbif) con aprobación multinivel y encriptación PGP.</w:t>
              <w:br/>
              <w:t>• Ahorro de más del 30% en inversión inicial y cero costo recurrente por usuario en licenciamiento cloud.</w:t>
            </w:r>
          </w:p>
        </w:tc>
      </w:tr>
    </w:tbl>
    <w:p>
      <w:pPr>
        <w:spacing w:after="80"/>
      </w:pPr>
    </w:p>
    <w:p>
      <w:pPr>
        <w:pStyle w:val="Heading1"/>
        <w:keepNext/>
        <w:spacing w:before="360" w:after="120"/>
      </w:pPr>
      <w:r>
        <w:rPr>
          <w:rFonts w:ascii="Segoe UI" w:hAnsi="Segoe UI"/>
          <w:b/>
          <w:color w:val="102542"/>
          <w:sz w:val="32"/>
        </w:rPr>
        <w:t>2. Comparativa Estratégica: Oferta de Mercado vs. Solución DROID</w:t>
      </w:r>
    </w:p>
    <w:p>
      <w:pPr>
        <w:spacing w:before="0" w:after="120" w:line="276" w:lineRule="auto"/>
      </w:pPr>
      <w:r>
        <w:rPr>
          <w:rFonts w:ascii="Segoe UI" w:hAnsi="Segoe UI"/>
          <w:color w:val="1E293B"/>
          <w:sz w:val="20"/>
        </w:rPr>
        <w:t>A continuación, se detalla la comparativa técnica y funcional entre las propuestas convencionales existentes en el mercado local (referencia SEIDOR) y el modelo integral optimizado ofrecido por DROID Consulting:</w:t>
      </w:r>
    </w:p>
    <w:tbl>
      <w:tblPr>
        <w:tblW w:type="auto" w:w="0"/>
        <w:jc w:val="center"/>
        <w:tblLook w:firstColumn="1" w:firstRow="1" w:lastColumn="0" w:lastRow="0" w:noHBand="0" w:noVBand="1" w:val="04A0"/>
      </w:tblPr>
      <w:tblGrid>
        <w:gridCol w:w="2592"/>
        <w:gridCol w:w="3456"/>
        <w:gridCol w:w="3600"/>
      </w:tblGrid>
      <w:tr>
        <w:tc>
          <w:tcPr>
            <w:tcW w:type="dxa" w:w="3216"/>
            <w:shd w:fill="102542"/>
            <w:tcMar>
              <w:top w:w="100" w:type="dxa"/>
              <w:bottom w:w="100" w:type="dxa"/>
              <w:left w:w="120" w:type="dxa"/>
              <w:right w:w="120" w:type="dxa"/>
            </w:tcMar>
          </w:tcPr>
          <w:p>
            <w:pPr>
              <w:jc w:val="center"/>
            </w:pPr>
            <w:r>
              <w:rPr>
                <w:rFonts w:ascii="Segoe UI" w:hAnsi="Segoe UI"/>
                <w:b/>
                <w:color w:val="FFFFFF"/>
                <w:sz w:val="19"/>
              </w:rPr>
              <w:t>Dimensión / Requerimiento</w:t>
            </w:r>
          </w:p>
        </w:tc>
        <w:tc>
          <w:tcPr>
            <w:tcW w:type="dxa" w:w="3216"/>
            <w:shd w:fill="102542"/>
            <w:tcMar>
              <w:top w:w="100" w:type="dxa"/>
              <w:bottom w:w="100" w:type="dxa"/>
              <w:left w:w="120" w:type="dxa"/>
              <w:right w:w="120" w:type="dxa"/>
            </w:tcMar>
          </w:tcPr>
          <w:p>
            <w:pPr>
              <w:jc w:val="center"/>
            </w:pPr>
            <w:r>
              <w:rPr>
                <w:rFonts w:ascii="Segoe UI" w:hAnsi="Segoe UI"/>
                <w:b/>
                <w:color w:val="FFFFFF"/>
                <w:sz w:val="19"/>
              </w:rPr>
              <w:t>Enfoque Tradicional de Mercado (SEIDOR)</w:t>
            </w:r>
          </w:p>
        </w:tc>
        <w:tc>
          <w:tcPr>
            <w:tcW w:type="dxa" w:w="3216"/>
            <w:shd w:fill="102542"/>
            <w:tcMar>
              <w:top w:w="100" w:type="dxa"/>
              <w:bottom w:w="100" w:type="dxa"/>
              <w:left w:w="120" w:type="dxa"/>
              <w:right w:w="120" w:type="dxa"/>
            </w:tcMar>
          </w:tcPr>
          <w:p>
            <w:pPr>
              <w:jc w:val="center"/>
            </w:pPr>
            <w:r>
              <w:rPr>
                <w:rFonts w:ascii="Segoe UI" w:hAnsi="Segoe UI"/>
                <w:b/>
                <w:color w:val="FFFFFF"/>
                <w:sz w:val="19"/>
              </w:rPr>
              <w:t>Solución Optimizada DROID Consulting TI</w:t>
            </w:r>
          </w:p>
        </w:tc>
      </w:tr>
      <w:tr>
        <w:tc>
          <w:tcPr>
            <w:tcW w:type="dxa" w:w="3216"/>
            <w:shd w:fill="FFFFFF"/>
            <w:tcMar>
              <w:top w:w="80" w:type="dxa"/>
              <w:bottom w:w="80" w:type="dxa"/>
              <w:left w:w="100" w:type="dxa"/>
              <w:right w:w="100" w:type="dxa"/>
            </w:tcMar>
            <w:tcBorders>
              <w:top w:val="single" w:sz="4" w:space="0" w:color="E2E8F0"/>
              <w:bottom w:val="single" w:sz="4" w:space="0" w:color="E2E8F0"/>
              <w:left w:val="none"/>
              <w:right w:val="none"/>
            </w:tcBorders>
          </w:tcPr>
          <w:p>
            <w:pPr>
              <w:spacing w:after="40" w:line="276" w:lineRule="auto"/>
            </w:pPr>
            <w:r>
              <w:rPr>
                <w:rFonts w:ascii="Segoe UI" w:hAnsi="Segoe UI"/>
                <w:b/>
                <w:color w:val="102542"/>
                <w:sz w:val="18"/>
              </w:rPr>
              <w:t>Arquitectura y Código</w:t>
            </w:r>
          </w:p>
        </w:tc>
        <w:tc>
          <w:tcPr>
            <w:tcW w:type="dxa" w:w="3216"/>
            <w:shd w:fill="FFFFFF"/>
            <w:tcMar>
              <w:top w:w="80" w:type="dxa"/>
              <w:bottom w:w="80" w:type="dxa"/>
              <w:left w:w="100" w:type="dxa"/>
              <w:right w:w="100" w:type="dxa"/>
            </w:tcMar>
            <w:tcBorders>
              <w:top w:val="single" w:sz="4" w:space="0" w:color="E2E8F0"/>
              <w:bottom w:val="single" w:sz="4" w:space="0" w:color="E2E8F0"/>
              <w:left w:val="none"/>
              <w:right w:val="none"/>
            </w:tcBorders>
          </w:tcPr>
          <w:p>
            <w:pPr>
              <w:spacing w:after="40" w:line="276" w:lineRule="auto"/>
            </w:pPr>
            <w:r>
              <w:rPr>
                <w:rFonts w:ascii="Segoe UI" w:hAnsi="Segoe UI"/>
                <w:color w:val="1E293B"/>
                <w:sz w:val="18"/>
              </w:rPr>
              <w:t>Múltiples desarrollos 'Z' independientes y rígidos. Nomenclatura propietaria cerrada sin entrega de especificaciones funcionales completas.</w:t>
            </w:r>
          </w:p>
        </w:tc>
        <w:tc>
          <w:tcPr>
            <w:tcW w:type="dxa" w:w="3216"/>
            <w:shd w:fill="FFFFFF"/>
            <w:tcMar>
              <w:top w:w="80" w:type="dxa"/>
              <w:bottom w:w="80" w:type="dxa"/>
              <w:left w:w="100" w:type="dxa"/>
              <w:right w:w="100" w:type="dxa"/>
            </w:tcMar>
            <w:tcBorders>
              <w:top w:val="single" w:sz="4" w:space="0" w:color="E2E8F0"/>
              <w:bottom w:val="single" w:sz="4" w:space="0" w:color="E2E8F0"/>
              <w:left w:val="none"/>
              <w:right w:val="none"/>
            </w:tcBorders>
          </w:tcPr>
          <w:p>
            <w:pPr>
              <w:spacing w:after="40" w:line="276" w:lineRule="auto"/>
            </w:pPr>
            <w:r>
              <w:rPr>
                <w:rFonts w:ascii="Segoe UI" w:hAnsi="Segoe UI"/>
                <w:b/>
                <w:color w:val="0070F2"/>
                <w:sz w:val="18"/>
              </w:rPr>
              <w:t>Aceleradores estandarizados en SAP S/4HANA sobre Core Data Services (CDS Views), totalmente abiertos, documentados y auditables.</w:t>
            </w:r>
          </w:p>
        </w:tc>
      </w:tr>
      <w:tr>
        <w:tc>
          <w:tcPr>
            <w:tcW w:type="dxa" w:w="3216"/>
            <w:shd w:fill="F4F7FB"/>
            <w:tcMar>
              <w:top w:w="80" w:type="dxa"/>
              <w:bottom w:w="80" w:type="dxa"/>
              <w:left w:w="100" w:type="dxa"/>
              <w:right w:w="100" w:type="dxa"/>
            </w:tcMar>
            <w:tcBorders>
              <w:top w:val="single" w:sz="4" w:space="0" w:color="E2E8F0"/>
              <w:bottom w:val="single" w:sz="4" w:space="0" w:color="E2E8F0"/>
              <w:left w:val="none"/>
              <w:right w:val="none"/>
            </w:tcBorders>
          </w:tcPr>
          <w:p>
            <w:pPr>
              <w:spacing w:after="40" w:line="276" w:lineRule="auto"/>
            </w:pPr>
            <w:r>
              <w:rPr>
                <w:rFonts w:ascii="Segoe UI" w:hAnsi="Segoe UI"/>
                <w:b/>
                <w:color w:val="102542"/>
                <w:sz w:val="18"/>
              </w:rPr>
              <w:t>Experiencia de Usuario</w:t>
            </w:r>
          </w:p>
        </w:tc>
        <w:tc>
          <w:tcPr>
            <w:tcW w:type="dxa" w:w="3216"/>
            <w:shd w:fill="F4F7FB"/>
            <w:tcMar>
              <w:top w:w="80" w:type="dxa"/>
              <w:bottom w:w="80" w:type="dxa"/>
              <w:left w:w="100" w:type="dxa"/>
              <w:right w:w="100" w:type="dxa"/>
            </w:tcMar>
            <w:tcBorders>
              <w:top w:val="single" w:sz="4" w:space="0" w:color="E2E8F0"/>
              <w:bottom w:val="single" w:sz="4" w:space="0" w:color="E2E8F0"/>
              <w:left w:val="none"/>
              <w:right w:val="none"/>
            </w:tcBorders>
          </w:tcPr>
          <w:p>
            <w:pPr>
              <w:spacing w:after="40" w:line="276" w:lineRule="auto"/>
            </w:pPr>
            <w:r>
              <w:rPr>
                <w:rFonts w:ascii="Segoe UI" w:hAnsi="Segoe UI"/>
                <w:color w:val="1E293B"/>
                <w:sz w:val="18"/>
              </w:rPr>
              <w:t>Transacciones de pantalla plana clásica en SAP GUI (reportes ALV estándar de escritorio), sin adaptabilidad móvil ni analítica en vivo.</w:t>
            </w:r>
          </w:p>
        </w:tc>
        <w:tc>
          <w:tcPr>
            <w:tcW w:type="dxa" w:w="3216"/>
            <w:shd w:fill="F4F7FB"/>
            <w:tcMar>
              <w:top w:w="80" w:type="dxa"/>
              <w:bottom w:w="80" w:type="dxa"/>
              <w:left w:w="100" w:type="dxa"/>
              <w:right w:w="100" w:type="dxa"/>
            </w:tcMar>
            <w:tcBorders>
              <w:top w:val="single" w:sz="4" w:space="0" w:color="E2E8F0"/>
              <w:bottom w:val="single" w:sz="4" w:space="0" w:color="E2E8F0"/>
              <w:left w:val="none"/>
              <w:right w:val="none"/>
            </w:tcBorders>
          </w:tcPr>
          <w:p>
            <w:pPr>
              <w:spacing w:after="40" w:line="276" w:lineRule="auto"/>
            </w:pPr>
            <w:r>
              <w:rPr>
                <w:rFonts w:ascii="Segoe UI" w:hAnsi="Segoe UI"/>
                <w:b/>
                <w:color w:val="0070F2"/>
                <w:sz w:val="18"/>
              </w:rPr>
              <w:t>Experiencia de vanguardia 100% SAP Fiori Horizons. Cockpits basados en roles, cuadro de mando ejecutivo y acceso multiplataforma.</w:t>
            </w:r>
          </w:p>
        </w:tc>
      </w:tr>
      <w:tr>
        <w:tc>
          <w:tcPr>
            <w:tcW w:type="dxa" w:w="3216"/>
            <w:shd w:fill="FFFFFF"/>
            <w:tcMar>
              <w:top w:w="80" w:type="dxa"/>
              <w:bottom w:w="80" w:type="dxa"/>
              <w:left w:w="100" w:type="dxa"/>
              <w:right w:w="100" w:type="dxa"/>
            </w:tcMar>
            <w:tcBorders>
              <w:top w:val="single" w:sz="4" w:space="0" w:color="E2E8F0"/>
              <w:bottom w:val="single" w:sz="4" w:space="0" w:color="E2E8F0"/>
              <w:left w:val="none"/>
              <w:right w:val="none"/>
            </w:tcBorders>
          </w:tcPr>
          <w:p>
            <w:pPr>
              <w:spacing w:after="40" w:line="276" w:lineRule="auto"/>
            </w:pPr>
            <w:r>
              <w:rPr>
                <w:rFonts w:ascii="Segoe UI" w:hAnsi="Segoe UI"/>
                <w:b/>
                <w:color w:val="102542"/>
                <w:sz w:val="18"/>
              </w:rPr>
              <w:t>Inteligencia Artificial y Copiloto</w:t>
            </w:r>
          </w:p>
        </w:tc>
        <w:tc>
          <w:tcPr>
            <w:tcW w:type="dxa" w:w="3216"/>
            <w:shd w:fill="FFFFFF"/>
            <w:tcMar>
              <w:top w:w="80" w:type="dxa"/>
              <w:bottom w:w="80" w:type="dxa"/>
              <w:left w:w="100" w:type="dxa"/>
              <w:right w:w="100" w:type="dxa"/>
            </w:tcMar>
            <w:tcBorders>
              <w:top w:val="single" w:sz="4" w:space="0" w:color="E2E8F0"/>
              <w:bottom w:val="single" w:sz="4" w:space="0" w:color="E2E8F0"/>
              <w:left w:val="none"/>
              <w:right w:val="none"/>
            </w:tcBorders>
          </w:tcPr>
          <w:p>
            <w:pPr>
              <w:spacing w:after="40" w:line="276" w:lineRule="auto"/>
            </w:pPr>
            <w:r>
              <w:rPr>
                <w:rFonts w:ascii="Segoe UI" w:hAnsi="Segoe UI"/>
                <w:color w:val="1E293B"/>
                <w:sz w:val="18"/>
              </w:rPr>
              <w:t>Inexistente. La detección de inconsistencias y cruce de datos depende de la revisión manual del usuario.</w:t>
            </w:r>
          </w:p>
        </w:tc>
        <w:tc>
          <w:tcPr>
            <w:tcW w:type="dxa" w:w="3216"/>
            <w:shd w:fill="FFFFFF"/>
            <w:tcMar>
              <w:top w:w="80" w:type="dxa"/>
              <w:bottom w:w="80" w:type="dxa"/>
              <w:left w:w="100" w:type="dxa"/>
              <w:right w:w="100" w:type="dxa"/>
            </w:tcMar>
            <w:tcBorders>
              <w:top w:val="single" w:sz="4" w:space="0" w:color="E2E8F0"/>
              <w:bottom w:val="single" w:sz="4" w:space="0" w:color="E2E8F0"/>
              <w:left w:val="none"/>
              <w:right w:val="none"/>
            </w:tcBorders>
          </w:tcPr>
          <w:p>
            <w:pPr>
              <w:spacing w:after="40" w:line="276" w:lineRule="auto"/>
            </w:pPr>
            <w:r>
              <w:rPr>
                <w:rFonts w:ascii="Segoe UI" w:hAnsi="Segoe UI"/>
                <w:b/>
                <w:color w:val="0070F2"/>
                <w:sz w:val="18"/>
              </w:rPr>
              <w:t>Droid Asistente Virtual integrado en pantalla: copiloto de IA que audita discrepancias SIRE, responde normativas y navega al asiento contable.</w:t>
            </w:r>
          </w:p>
        </w:tc>
      </w:tr>
      <w:tr>
        <w:tc>
          <w:tcPr>
            <w:tcW w:type="dxa" w:w="3216"/>
            <w:shd w:fill="F4F7FB"/>
            <w:tcMar>
              <w:top w:w="80" w:type="dxa"/>
              <w:bottom w:w="80" w:type="dxa"/>
              <w:left w:w="100" w:type="dxa"/>
              <w:right w:w="100" w:type="dxa"/>
            </w:tcMar>
            <w:tcBorders>
              <w:top w:val="single" w:sz="4" w:space="0" w:color="E2E8F0"/>
              <w:bottom w:val="single" w:sz="4" w:space="0" w:color="E2E8F0"/>
              <w:left w:val="none"/>
              <w:right w:val="none"/>
            </w:tcBorders>
          </w:tcPr>
          <w:p>
            <w:pPr>
              <w:spacing w:after="40" w:line="276" w:lineRule="auto"/>
            </w:pPr>
            <w:r>
              <w:rPr>
                <w:rFonts w:ascii="Segoe UI" w:hAnsi="Segoe UI"/>
                <w:b/>
                <w:color w:val="102542"/>
                <w:sz w:val="18"/>
              </w:rPr>
              <w:t>Conectividad Bancaria (Host to Web)</w:t>
            </w:r>
          </w:p>
        </w:tc>
        <w:tc>
          <w:tcPr>
            <w:tcW w:type="dxa" w:w="3216"/>
            <w:shd w:fill="F4F7FB"/>
            <w:tcMar>
              <w:top w:w="80" w:type="dxa"/>
              <w:bottom w:w="80" w:type="dxa"/>
              <w:left w:w="100" w:type="dxa"/>
              <w:right w:w="100" w:type="dxa"/>
            </w:tcMar>
            <w:tcBorders>
              <w:top w:val="single" w:sz="4" w:space="0" w:color="E2E8F0"/>
              <w:bottom w:val="single" w:sz="4" w:space="0" w:color="E2E8F0"/>
              <w:left w:val="none"/>
              <w:right w:val="none"/>
            </w:tcBorders>
          </w:tcPr>
          <w:p>
            <w:pPr>
              <w:spacing w:after="40" w:line="276" w:lineRule="auto"/>
            </w:pPr>
            <w:r>
              <w:rPr>
                <w:rFonts w:ascii="Segoe UI" w:hAnsi="Segoe UI"/>
                <w:color w:val="1E293B"/>
                <w:sz w:val="18"/>
              </w:rPr>
              <w:t>Cobro segregado de USD $22,500 exclusivamente por conexión de 3 bancos, excluyendo pagos individuales y sin optimizaciones de procesos FI.</w:t>
            </w:r>
          </w:p>
        </w:tc>
        <w:tc>
          <w:tcPr>
            <w:tcW w:type="dxa" w:w="3216"/>
            <w:shd w:fill="F4F7FB"/>
            <w:tcMar>
              <w:top w:w="80" w:type="dxa"/>
              <w:bottom w:w="80" w:type="dxa"/>
              <w:left w:w="100" w:type="dxa"/>
              <w:right w:w="100" w:type="dxa"/>
            </w:tcMar>
            <w:tcBorders>
              <w:top w:val="single" w:sz="4" w:space="0" w:color="E2E8F0"/>
              <w:bottom w:val="single" w:sz="4" w:space="0" w:color="E2E8F0"/>
              <w:left w:val="none"/>
              <w:right w:val="none"/>
            </w:tcBorders>
          </w:tcPr>
          <w:p>
            <w:pPr>
              <w:spacing w:after="40" w:line="276" w:lineRule="auto"/>
            </w:pPr>
            <w:r>
              <w:rPr>
                <w:rFonts w:ascii="Segoe UI" w:hAnsi="Segoe UI"/>
                <w:b/>
                <w:color w:val="0070F2"/>
                <w:sz w:val="18"/>
              </w:rPr>
              <w:t>Integración unificada Host to Web (BBVA, Interbank, BCP y Banbif) vía SAP CPI + PGP con flujo de aprobación configurable de 2 niveles.</w:t>
            </w:r>
          </w:p>
        </w:tc>
      </w:tr>
      <w:tr>
        <w:tc>
          <w:tcPr>
            <w:tcW w:type="dxa" w:w="3216"/>
            <w:shd w:fill="FFFFFF"/>
            <w:tcMar>
              <w:top w:w="80" w:type="dxa"/>
              <w:bottom w:w="80" w:type="dxa"/>
              <w:left w:w="100" w:type="dxa"/>
              <w:right w:w="100" w:type="dxa"/>
            </w:tcMar>
            <w:tcBorders>
              <w:top w:val="single" w:sz="4" w:space="0" w:color="E2E8F0"/>
              <w:bottom w:val="single" w:sz="4" w:space="0" w:color="E2E8F0"/>
              <w:left w:val="none"/>
              <w:right w:val="none"/>
            </w:tcBorders>
          </w:tcPr>
          <w:p>
            <w:pPr>
              <w:spacing w:after="40" w:line="276" w:lineRule="auto"/>
            </w:pPr>
            <w:r>
              <w:rPr>
                <w:rFonts w:ascii="Segoe UI" w:hAnsi="Segoe UI"/>
                <w:b/>
                <w:color w:val="102542"/>
                <w:sz w:val="18"/>
              </w:rPr>
              <w:t>Libros Electrónicos y SIRE</w:t>
            </w:r>
          </w:p>
        </w:tc>
        <w:tc>
          <w:tcPr>
            <w:tcW w:type="dxa" w:w="3216"/>
            <w:shd w:fill="FFFFFF"/>
            <w:tcMar>
              <w:top w:w="80" w:type="dxa"/>
              <w:bottom w:w="80" w:type="dxa"/>
              <w:left w:w="100" w:type="dxa"/>
              <w:right w:w="100" w:type="dxa"/>
            </w:tcMar>
            <w:tcBorders>
              <w:top w:val="single" w:sz="4" w:space="0" w:color="E2E8F0"/>
              <w:bottom w:val="single" w:sz="4" w:space="0" w:color="E2E8F0"/>
              <w:left w:val="none"/>
              <w:right w:val="none"/>
            </w:tcBorders>
          </w:tcPr>
          <w:p>
            <w:pPr>
              <w:spacing w:after="40" w:line="276" w:lineRule="auto"/>
            </w:pPr>
            <w:r>
              <w:rPr>
                <w:rFonts w:ascii="Segoe UI" w:hAnsi="Segoe UI"/>
                <w:color w:val="1E293B"/>
                <w:sz w:val="18"/>
              </w:rPr>
              <w:t>Desarrollo cotizado por partes (RCE separado, PLE 3.7 y 3.24 por separado, PDT 617 por separado). Exclusión explícita de varios libros.</w:t>
            </w:r>
          </w:p>
        </w:tc>
        <w:tc>
          <w:tcPr>
            <w:tcW w:type="dxa" w:w="3216"/>
            <w:shd w:fill="FFFFFF"/>
            <w:tcMar>
              <w:top w:w="80" w:type="dxa"/>
              <w:bottom w:w="80" w:type="dxa"/>
              <w:left w:w="100" w:type="dxa"/>
              <w:right w:w="100" w:type="dxa"/>
            </w:tcMar>
            <w:tcBorders>
              <w:top w:val="single" w:sz="4" w:space="0" w:color="E2E8F0"/>
              <w:bottom w:val="single" w:sz="4" w:space="0" w:color="E2E8F0"/>
              <w:left w:val="none"/>
              <w:right w:val="none"/>
            </w:tcBorders>
          </w:tcPr>
          <w:p>
            <w:pPr>
              <w:spacing w:after="40" w:line="276" w:lineRule="auto"/>
            </w:pPr>
            <w:r>
              <w:rPr>
                <w:rFonts w:ascii="Segoe UI" w:hAnsi="Segoe UI"/>
                <w:b/>
                <w:color w:val="0070F2"/>
                <w:sz w:val="18"/>
              </w:rPr>
              <w:t>Cobertura completa e integrada: Suite PLE 3.1 al 3.24, SIRE RCE/RVIE inteligente con diferimiento de crédito fiscal y No Domiciliados.</w:t>
            </w:r>
          </w:p>
        </w:tc>
      </w:tr>
      <w:tr>
        <w:tc>
          <w:tcPr>
            <w:tcW w:type="dxa" w:w="3216"/>
            <w:shd w:fill="F4F7FB"/>
            <w:tcMar>
              <w:top w:w="80" w:type="dxa"/>
              <w:bottom w:w="80" w:type="dxa"/>
              <w:left w:w="100" w:type="dxa"/>
              <w:right w:w="100" w:type="dxa"/>
            </w:tcMar>
            <w:tcBorders>
              <w:top w:val="single" w:sz="4" w:space="0" w:color="E2E8F0"/>
              <w:bottom w:val="single" w:sz="4" w:space="0" w:color="E2E8F0"/>
              <w:left w:val="none"/>
              <w:right w:val="none"/>
            </w:tcBorders>
          </w:tcPr>
          <w:p>
            <w:pPr>
              <w:spacing w:after="40" w:line="276" w:lineRule="auto"/>
            </w:pPr>
            <w:r>
              <w:rPr>
                <w:rFonts w:ascii="Segoe UI" w:hAnsi="Segoe UI"/>
                <w:b/>
                <w:color w:val="102542"/>
                <w:sz w:val="18"/>
              </w:rPr>
              <w:t>Inversión Total Estimada</w:t>
            </w:r>
          </w:p>
        </w:tc>
        <w:tc>
          <w:tcPr>
            <w:tcW w:type="dxa" w:w="3216"/>
            <w:shd w:fill="F4F7FB"/>
            <w:tcMar>
              <w:top w:w="80" w:type="dxa"/>
              <w:bottom w:w="80" w:type="dxa"/>
              <w:left w:w="100" w:type="dxa"/>
              <w:right w:w="100" w:type="dxa"/>
            </w:tcMar>
            <w:tcBorders>
              <w:top w:val="single" w:sz="4" w:space="0" w:color="E2E8F0"/>
              <w:bottom w:val="single" w:sz="4" w:space="0" w:color="E2E8F0"/>
              <w:left w:val="none"/>
              <w:right w:val="none"/>
            </w:tcBorders>
          </w:tcPr>
          <w:p>
            <w:pPr>
              <w:spacing w:after="40" w:line="276" w:lineRule="auto"/>
            </w:pPr>
            <w:r>
              <w:rPr>
                <w:rFonts w:ascii="Segoe UI" w:hAnsi="Segoe UI"/>
                <w:color w:val="1E293B"/>
                <w:sz w:val="18"/>
              </w:rPr>
              <w:t>USD $56,600.00 (+ Impuestos) con penalidades rígidas de $360 diarios por desviaciones atribuibles al cliente.</w:t>
            </w:r>
          </w:p>
        </w:tc>
        <w:tc>
          <w:tcPr>
            <w:tcW w:type="dxa" w:w="3216"/>
            <w:shd w:fill="F4F7FB"/>
            <w:tcMar>
              <w:top w:w="80" w:type="dxa"/>
              <w:bottom w:w="80" w:type="dxa"/>
              <w:left w:w="100" w:type="dxa"/>
              <w:right w:w="100" w:type="dxa"/>
            </w:tcMar>
            <w:tcBorders>
              <w:top w:val="single" w:sz="4" w:space="0" w:color="E2E8F0"/>
              <w:bottom w:val="single" w:sz="4" w:space="0" w:color="E2E8F0"/>
              <w:left w:val="none"/>
              <w:right w:val="none"/>
            </w:tcBorders>
          </w:tcPr>
          <w:p>
            <w:pPr>
              <w:spacing w:after="40" w:line="276" w:lineRule="auto"/>
            </w:pPr>
            <w:r>
              <w:rPr>
                <w:rFonts w:ascii="Segoe UI" w:hAnsi="Segoe UI"/>
                <w:b/>
                <w:color w:val="0070F2"/>
                <w:sz w:val="18"/>
              </w:rPr>
              <w:t>USD $38,500.00 (+ Impuestos) en paquete integral 'llave en mano', cronograma ágil de 10-12 semanas y gobernanza colaborativa.</w:t>
            </w:r>
          </w:p>
        </w:tc>
      </w:tr>
    </w:tbl>
    <w:p>
      <w:pPr>
        <w:spacing w:after="160"/>
      </w:pPr>
    </w:p>
    <w:p>
      <w:pPr>
        <w:pStyle w:val="Heading1"/>
        <w:keepNext/>
        <w:spacing w:before="360" w:after="120"/>
      </w:pPr>
      <w:r>
        <w:rPr>
          <w:rFonts w:ascii="Segoe UI" w:hAnsi="Segoe UI"/>
          <w:b/>
          <w:color w:val="102542"/>
          <w:sz w:val="32"/>
        </w:rPr>
        <w:t>3. Alcance Funcional Detallado por Módulos</w:t>
      </w:r>
    </w:p>
    <w:p>
      <w:pPr>
        <w:spacing w:before="0" w:after="120" w:line="276" w:lineRule="auto"/>
      </w:pPr>
      <w:r>
        <w:rPr>
          <w:rFonts w:ascii="Segoe UI" w:hAnsi="Segoe UI"/>
          <w:color w:val="1E293B"/>
          <w:sz w:val="20"/>
        </w:rPr>
        <w:t>A continuación, se presenta la especificación detallada de los seis (6) módulos que componen la Suite Integral de Localización Perú DROID, reformulados y ampliados para satisfacer los requerimientos operativos y tributarios más exigentes:</w:t>
      </w:r>
    </w:p>
    <w:p>
      <w:pPr>
        <w:pStyle w:val="Heading2"/>
        <w:keepNext/>
        <w:spacing w:before="280" w:after="80"/>
      </w:pPr>
      <w:r>
        <w:rPr>
          <w:rFonts w:ascii="Segoe UI" w:hAnsi="Segoe UI"/>
          <w:b/>
          <w:color w:val="0070F2"/>
          <w:sz w:val="26"/>
        </w:rPr>
        <w:t>Módulo I: Blindaje Fiscal y Aceleradores Normativos SUNAT</w:t>
      </w:r>
    </w:p>
    <w:p>
      <w:pPr>
        <w:spacing w:before="0" w:after="120" w:line="276" w:lineRule="auto"/>
      </w:pPr>
      <w:r>
        <w:rPr>
          <w:rFonts w:ascii="Segoe UI" w:hAnsi="Segoe UI"/>
          <w:color w:val="1E293B"/>
          <w:sz w:val="20"/>
        </w:rPr>
        <w:t>Este módulo automatiza los controles fiscales de mayor riesgo sancionatorio para la empresa, evitando la pérdida de crédito fiscal y gestionando con rigor jurídico las medidas cautelares coactivas de SUNAT:</w:t>
      </w:r>
    </w:p>
    <w:p>
      <w:pPr>
        <w:pStyle w:val="ListBullet"/>
        <w:spacing w:before="0" w:after="60" w:line="276" w:lineRule="auto"/>
      </w:pPr>
      <w:r>
        <w:rPr>
          <w:rFonts w:ascii="Segoe UI" w:hAnsi="Segoe UI"/>
          <w:b/>
          <w:color w:val="102542"/>
          <w:sz w:val="19"/>
        </w:rPr>
        <w:t xml:space="preserve">1.1 Control Preventivo de Capacidad Operativa (Padrón SSCO &amp; No Habidos): </w:t>
      </w:r>
      <w:r>
        <w:rPr>
          <w:rFonts w:ascii="Segoe UI" w:hAnsi="Segoe UI"/>
          <w:color w:val="1E293B"/>
          <w:sz w:val="19"/>
        </w:rPr>
        <w:t>Carga estructurada e indexada de los padrones oficiales de SUNAT para Sujetos Sin Capacidad Operativa (SSCO) y Contribuyentes No Habidos. El sistema ejecuta una intercepción preventiva en tiempo real al momento en que un usuario ingresa una factura en Finanzas (FB60), compras logísticas (MIRO) o transacciones de pre-registro contable. Si el RUC emisor figura observado, el sistema genera de forma parametrizable una advertencia mandatoria o un bloqueo total de contabilización, protegiendo al 100% el derecho al crédito fiscal y la deducción del gasto de la compañía.</w:t>
      </w:r>
    </w:p>
    <w:p>
      <w:pPr>
        <w:pStyle w:val="ListBullet"/>
        <w:spacing w:before="0" w:after="60" w:line="276" w:lineRule="auto"/>
      </w:pPr>
      <w:r>
        <w:rPr>
          <w:rFonts w:ascii="Segoe UI" w:hAnsi="Segoe UI"/>
          <w:b/>
          <w:color w:val="102542"/>
          <w:sz w:val="19"/>
        </w:rPr>
        <w:t xml:space="preserve">1.2 Automatización de Embargos Electrónicos (Medidas Cautelares Coactivas): </w:t>
      </w:r>
      <w:r>
        <w:rPr>
          <w:rFonts w:ascii="Segoe UI" w:hAnsi="Segoe UI"/>
          <w:color w:val="1E293B"/>
          <w:sz w:val="19"/>
        </w:rPr>
        <w:t>Solución especializada para la consulta, declaración y retención coactiva sobre acreedores de empresas denominadas 'Grandes Compradores' o 'Terceros Retenedores'. El sistema analiza automáticamente las propuestas de pago masivo generadas por la transacción F110, señalizando los documentos cuyo importe supere una (1) UIT. Genera de forma automática los archivos planos estructurados (.TXT) para su transmisión hacia la plataforma EXTRANET de SUNAT y procesa la regla de cálculo oficial para recibos por honorarios. Asimismo, ejecuta el bloqueo preventivo masivo o individual de las cuentas por pagar de proveedores con deuda coactiva notificada, permitiendo el desbloqueo transparente una vez que SUNAT certifique la cancelación de la medida.</w:t>
      </w:r>
    </w:p>
    <w:p>
      <w:pPr>
        <w:pStyle w:val="ListBullet"/>
        <w:spacing w:before="0" w:after="60" w:line="276" w:lineRule="auto"/>
      </w:pPr>
      <w:r>
        <w:rPr>
          <w:rFonts w:ascii="Segoe UI" w:hAnsi="Segoe UI"/>
          <w:b/>
          <w:color w:val="102542"/>
          <w:sz w:val="19"/>
        </w:rPr>
        <w:t xml:space="preserve">1.3 Validaciones Preventivas de Temporalidad de Facturas: </w:t>
      </w:r>
      <w:r>
        <w:rPr>
          <w:rFonts w:ascii="Segoe UI" w:hAnsi="Segoe UI"/>
          <w:color w:val="1E293B"/>
          <w:sz w:val="19"/>
        </w:rPr>
        <w:t>Módulo de verificación que audita la antigüedad de la fecha de emisión del comprobante físico o electrónico respecto a la fecha contable del sistema. Emite alertas de advertencia o bloqueo si la fecha es menor en un mes (compras generales) o si supera los tres (3) meses en compras afectas a detracción, blindando los plazos perentorios del crédito fiscal.</w:t>
      </w:r>
    </w:p>
    <w:p>
      <w:pPr>
        <w:pStyle w:val="Heading2"/>
        <w:keepNext/>
        <w:spacing w:before="280" w:after="80"/>
      </w:pPr>
      <w:r>
        <w:rPr>
          <w:rFonts w:ascii="Segoe UI" w:hAnsi="Segoe UI"/>
          <w:b/>
          <w:color w:val="0070F2"/>
          <w:sz w:val="26"/>
        </w:rPr>
        <w:t>Módulo II: Automatización de Retenciones (CxC) y Percepciones (CxP)</w:t>
      </w:r>
    </w:p>
    <w:p>
      <w:pPr>
        <w:spacing w:before="0" w:after="120" w:line="276" w:lineRule="auto"/>
      </w:pPr>
      <w:r>
        <w:rPr>
          <w:rFonts w:ascii="Segoe UI" w:hAnsi="Segoe UI"/>
          <w:color w:val="1E293B"/>
          <w:sz w:val="20"/>
        </w:rPr>
        <w:t>Automatiza el cálculo y tratamiento contable de los regímenes impositivos de retenciones comerciales y percepciones aplicadas a los flujos de cobro y pago:</w:t>
      </w:r>
    </w:p>
    <w:p>
      <w:pPr>
        <w:pStyle w:val="ListBullet"/>
        <w:spacing w:before="0" w:after="60" w:line="276" w:lineRule="auto"/>
      </w:pPr>
      <w:r>
        <w:rPr>
          <w:rFonts w:ascii="Segoe UI" w:hAnsi="Segoe UI"/>
          <w:b/>
          <w:color w:val="102542"/>
          <w:sz w:val="19"/>
        </w:rPr>
        <w:t xml:space="preserve">2.1 Administrador de Retenciones en Cuentas por Cobrar (CxC): </w:t>
      </w:r>
      <w:r>
        <w:rPr>
          <w:rFonts w:ascii="Segoe UI" w:hAnsi="Segoe UI"/>
          <w:color w:val="1E293B"/>
          <w:sz w:val="19"/>
        </w:rPr>
        <w:t>Asignación desatendida del indicador de retención (3%) en facturas generadas desde Ventas (SD) o Finanzas (FI) cuando el cliente figure como Agente de Retención según el padrón de SUNAT. Incorpora la regla de negocio crítica: La detracción prevalece sobre la retención (si la factura está sujeta a detracción, no se aplica retención comercial). Dispone de un programa ejecutable de actualización masiva de partidas abiertas ante cambios de condición tributaria del cliente. Soporta los nuevos escenarios de Facturación Electrónica (Factura gravada + IGV + crédito + retención, y notas de crédito referenciadas), contabilizando la retención al aplicar la cobranza con columnas ampliadas en la transacción FBL5N.</w:t>
      </w:r>
    </w:p>
    <w:p>
      <w:pPr>
        <w:pStyle w:val="ListBullet"/>
        <w:spacing w:before="0" w:after="60" w:line="276" w:lineRule="auto"/>
      </w:pPr>
      <w:r>
        <w:rPr>
          <w:rFonts w:ascii="Segoe UI" w:hAnsi="Segoe UI"/>
          <w:b/>
          <w:color w:val="102542"/>
          <w:sz w:val="19"/>
        </w:rPr>
        <w:t xml:space="preserve">2.2 Administrador de Percepciones en Cuentas por Pagar (CxP): </w:t>
      </w:r>
      <w:r>
        <w:rPr>
          <w:rFonts w:ascii="Segoe UI" w:hAnsi="Segoe UI"/>
          <w:color w:val="1E293B"/>
          <w:sz w:val="19"/>
        </w:rPr>
        <w:t>Determinación automática del indicador impositivo de percepción en facturas de compras registradas en MM (MIRO) o FI (FB60) en función a la configuración en el maestro de materiales: Agente de percepción de venta interna (2%) o Agente de hidrocarburos (1%). Garantiza la exclusión mutua entre percepción y detracción. Permite la anotación y control del certificado de percepción y provee un monitor de actualización de partidas abiertas cuando un proveedor adquiere la condición de agente.</w:t>
      </w:r>
    </w:p>
    <w:p>
      <w:pPr>
        <w:pStyle w:val="Heading2"/>
        <w:keepNext/>
        <w:spacing w:before="280" w:after="80"/>
      </w:pPr>
      <w:r>
        <w:rPr>
          <w:rFonts w:ascii="Segoe UI" w:hAnsi="Segoe UI"/>
          <w:b/>
          <w:color w:val="0070F2"/>
          <w:sz w:val="26"/>
        </w:rPr>
        <w:t>Módulo III: Plataforma SIRE SUNAT &amp; Suite Completa Libros PLE</w:t>
      </w:r>
    </w:p>
    <w:p>
      <w:pPr>
        <w:spacing w:before="0" w:after="120" w:line="276" w:lineRule="auto"/>
      </w:pPr>
      <w:r>
        <w:rPr>
          <w:rFonts w:ascii="Segoe UI" w:hAnsi="Segoe UI"/>
          <w:color w:val="1E293B"/>
          <w:sz w:val="20"/>
        </w:rPr>
        <w:t>Provee cobertura 100% homologada con los estándares vigentes de SUNAT para la presentación de libros contables físicos y electrónicos:</w:t>
      </w:r>
    </w:p>
    <w:p>
      <w:pPr>
        <w:pStyle w:val="ListBullet"/>
        <w:spacing w:before="0" w:after="60" w:line="276" w:lineRule="auto"/>
      </w:pPr>
      <w:r>
        <w:rPr>
          <w:rFonts w:ascii="Segoe UI" w:hAnsi="Segoe UI"/>
          <w:b/>
          <w:color w:val="102542"/>
          <w:sz w:val="19"/>
        </w:rPr>
        <w:t xml:space="preserve">3.1 Portal SIRE Inteligente (RCE 8.1, RVIE 14.1 y No Domiciliados): </w:t>
      </w:r>
      <w:r>
        <w:rPr>
          <w:rFonts w:ascii="Segoe UI" w:hAnsi="Segoe UI"/>
          <w:color w:val="1E293B"/>
          <w:sz w:val="19"/>
        </w:rPr>
        <w:t>Motor de reconciliación que contrasta la propuesta oficial de compras de SUNAT (RCE 8.1) contra los registros de SAP S/4HANA. Incorpora la gestión de exclusión y diferimiento para apartar comprobantes con detracción pendiente o recibos de servicios públicos y presentarlos en el periodo tributario en que otorgan derecho al crédito fiscal. Incluye el Registro de Ventas e Ingresos Electrónico (RVIE 14.1) y un módulo de carga masiva de comprobantes de No Domiciliados (RCE 8.2) con la nueva estructura oficial de SUNAT (mayo 2026) y cálculo automático de retención de renta para el PDT 617.</w:t>
      </w:r>
    </w:p>
    <w:p>
      <w:pPr>
        <w:pStyle w:val="ListBullet"/>
        <w:spacing w:before="0" w:after="60" w:line="276" w:lineRule="auto"/>
      </w:pPr>
      <w:r>
        <w:rPr>
          <w:rFonts w:ascii="Segoe UI" w:hAnsi="Segoe UI"/>
          <w:b/>
          <w:color w:val="102542"/>
          <w:sz w:val="19"/>
        </w:rPr>
        <w:t xml:space="preserve">3.2 Suite Exhaustiva de Libros Electrónicos PLE: </w:t>
      </w:r>
      <w:r>
        <w:rPr>
          <w:rFonts w:ascii="Segoe UI" w:hAnsi="Segoe UI"/>
          <w:color w:val="1E293B"/>
          <w:sz w:val="19"/>
        </w:rPr>
        <w:t>Despliegue integral de todos los libros contables normados: Libro 3 Inventarios y Balances completo (3.1 Balance General, 3.3 Clientes 12/13, 3.4 Personal 14, 3.5 Cuentas Diversas 16/17, 3.6 Cobranza Dudosa 19, 3.7 Mercaderías y PT 20/21, 3.9 Intangibles 34, 3.12 Proveedores 42/43, 3.13 Pasivos Diversos 46/47, 3.15 Diferidos 37/49, 3.17 Comprobación, 3.19 Patrimonio, 3.20 Resultados y 3.24 Resultados Integrales); Libro 5 Diario (5.1 General y 5.3 Plan Contable); Libro 6 Mayor (6.1); Libro 7 Activos Fijos (7.1 Detalle, 7.3 Diferencia de Cambio y 7.4 Arrendamiento Financiero / Leasing); y Libro 13 Kardex Permanente Valorizado (13.1). Todos con salida en grilla analítica y descarga en archivos planos (.TXT y .ZIP) según normas SUNAT.</w:t>
      </w:r>
    </w:p>
    <w:p>
      <w:pPr>
        <w:pStyle w:val="Heading2"/>
        <w:keepNext/>
        <w:spacing w:before="280" w:after="80"/>
      </w:pPr>
      <w:r>
        <w:rPr>
          <w:rFonts w:ascii="Segoe UI" w:hAnsi="Segoe UI"/>
          <w:b/>
          <w:color w:val="0070F2"/>
          <w:sz w:val="26"/>
        </w:rPr>
        <w:t>Módulo IV: Conectividad Bancaria Desatendida (Host to Web)</w:t>
      </w:r>
    </w:p>
    <w:p>
      <w:pPr>
        <w:spacing w:before="0" w:after="120" w:line="276" w:lineRule="auto"/>
      </w:pPr>
      <w:r>
        <w:rPr>
          <w:rFonts w:ascii="Segoe UI" w:hAnsi="Segoe UI"/>
          <w:color w:val="1E293B"/>
          <w:sz w:val="20"/>
        </w:rPr>
        <w:t>Transforma el proceso de tesorería eliminando la manipulación manual de archivos bancarios a través de una integración segura punto a punto:</w:t>
      </w:r>
    </w:p>
    <w:p>
      <w:pPr>
        <w:pStyle w:val="ListBullet"/>
        <w:spacing w:before="0" w:after="60" w:line="276" w:lineRule="auto"/>
      </w:pPr>
      <w:r>
        <w:rPr>
          <w:rFonts w:ascii="Segoe UI" w:hAnsi="Segoe UI"/>
          <w:b/>
          <w:color w:val="102542"/>
          <w:sz w:val="19"/>
        </w:rPr>
        <w:t xml:space="preserve">4.1 Integración Multibanco B2B con Cifrado PGP: </w:t>
      </w:r>
      <w:r>
        <w:rPr>
          <w:rFonts w:ascii="Segoe UI" w:hAnsi="Segoe UI"/>
          <w:color w:val="1E293B"/>
          <w:sz w:val="19"/>
        </w:rPr>
        <w:t>Integración desatendida B2B basada en SAP Cloud Integration (CPI) que canaliza las propuestas de pago masivo generadas por la transacción F110 hacia los servidores SFTP de los principales bancos del país: BBVA Continental, Interbank, Banco de Crédito del Perú (BCP) y Banbif. Todas las transferencias de archivos de ida y vuelta viajan protegidas mediante algoritmos de cifrado asimétrico PGP.</w:t>
      </w:r>
    </w:p>
    <w:p>
      <w:pPr>
        <w:pStyle w:val="ListBullet"/>
        <w:spacing w:before="0" w:after="60" w:line="276" w:lineRule="auto"/>
      </w:pPr>
      <w:r>
        <w:rPr>
          <w:rFonts w:ascii="Segoe UI" w:hAnsi="Segoe UI"/>
          <w:b/>
          <w:color w:val="102542"/>
          <w:sz w:val="19"/>
        </w:rPr>
        <w:t xml:space="preserve">4.2 Operaciones de Pago Soportadas: </w:t>
      </w:r>
      <w:r>
        <w:rPr>
          <w:rFonts w:ascii="Segoe UI" w:hAnsi="Segoe UI"/>
          <w:color w:val="1E293B"/>
          <w:sz w:val="19"/>
        </w:rPr>
        <w:t>Soporta pagos a proveedores nacionales bajo tres modalidades: transferencias entre cuentas del mismo banco, transferencias interbancarias (CCI diferidas e inmediatas) y emisión de cheques de gerencia, adaptando las estructuras a cada estándar bancario.</w:t>
      </w:r>
    </w:p>
    <w:p>
      <w:pPr>
        <w:pStyle w:val="ListBullet"/>
        <w:spacing w:before="0" w:after="60" w:line="276" w:lineRule="auto"/>
      </w:pPr>
      <w:r>
        <w:rPr>
          <w:rFonts w:ascii="Segoe UI" w:hAnsi="Segoe UI"/>
          <w:b/>
          <w:color w:val="102542"/>
          <w:sz w:val="19"/>
        </w:rPr>
        <w:t xml:space="preserve">4.3 Flujo de Aprobación Multinivel y Monitor de Estados: </w:t>
      </w:r>
      <w:r>
        <w:rPr>
          <w:rFonts w:ascii="Segoe UI" w:hAnsi="Segoe UI"/>
          <w:color w:val="1E293B"/>
          <w:sz w:val="19"/>
        </w:rPr>
        <w:t>Sistema de control con aprobador de 2 niveles antes de habilitar la transmisión del lote hacia el banco, con límites configurables por monto y jerarquía. Incluye un Monitor Z Host to Web en SAP que reporta en tiempo real el estatus de procesamiento (Enviado, Aprobado, Rechazado, Pagado) con capacidad de anulación de lote y retroalimentación contable automática.</w:t>
      </w:r>
    </w:p>
    <w:p>
      <w:pPr>
        <w:pStyle w:val="Heading2"/>
        <w:keepNext/>
        <w:spacing w:before="280" w:after="80"/>
      </w:pPr>
      <w:r>
        <w:rPr>
          <w:rFonts w:ascii="Segoe UI" w:hAnsi="Segoe UI"/>
          <w:b/>
          <w:color w:val="0070F2"/>
          <w:sz w:val="26"/>
        </w:rPr>
        <w:t>Módulo V: Facturación Electrónica y Guías de Remisión (SD/MM)</w:t>
      </w:r>
    </w:p>
    <w:p>
      <w:pPr>
        <w:spacing w:before="0" w:after="120" w:line="276" w:lineRule="auto"/>
      </w:pPr>
      <w:r>
        <w:rPr>
          <w:rFonts w:ascii="Segoe UI" w:hAnsi="Segoe UI"/>
          <w:color w:val="1E293B"/>
          <w:sz w:val="20"/>
        </w:rPr>
        <w:t>Optimiza la logística de distribución y emisión de comprobantes en locales y plantas:</w:t>
      </w:r>
    </w:p>
    <w:p>
      <w:pPr>
        <w:pStyle w:val="ListBullet"/>
        <w:spacing w:before="0" w:after="60" w:line="276" w:lineRule="auto"/>
      </w:pPr>
      <w:r>
        <w:rPr>
          <w:rFonts w:ascii="Segoe UI" w:hAnsi="Segoe UI"/>
          <w:b/>
          <w:color w:val="102542"/>
          <w:sz w:val="19"/>
        </w:rPr>
        <w:t xml:space="preserve">5.1 Monitor de Impresión Masiva FE y GRE: </w:t>
      </w:r>
      <w:r>
        <w:rPr>
          <w:rFonts w:ascii="Segoe UI" w:hAnsi="Segoe UI"/>
          <w:color w:val="1E293B"/>
          <w:sz w:val="19"/>
        </w:rPr>
        <w:t>Monitor especializado para el despacho e impresión masiva de Facturas, Boletas, Notas de Crédito, Notas de Débito y Guías de Remisión Electrónica (GRE Remitente y Transportista). Consume la representación impresa oficial (PDF con código QR) mediante los servicios web expuestos por el Operador de Servicios Electrónicos (OSE) y direcciona la impresión automáticamente al spool de las impresoras de red instaladas.</w:t>
      </w:r>
    </w:p>
    <w:p>
      <w:pPr>
        <w:pStyle w:val="ListBullet"/>
        <w:spacing w:before="0" w:after="60" w:line="276" w:lineRule="auto"/>
      </w:pPr>
      <w:r>
        <w:rPr>
          <w:rFonts w:ascii="Segoe UI" w:hAnsi="Segoe UI"/>
          <w:b/>
          <w:color w:val="102542"/>
          <w:sz w:val="19"/>
        </w:rPr>
        <w:t xml:space="preserve">5.2 Control de Series por Centro Logístico (IDCP): </w:t>
      </w:r>
      <w:r>
        <w:rPr>
          <w:rFonts w:ascii="Segoe UI" w:hAnsi="Segoe UI"/>
          <w:color w:val="1E293B"/>
          <w:sz w:val="19"/>
        </w:rPr>
        <w:t>Ampliación sobre la transacción estándar IDCP que filtra y muestra estrictamente las series de comprobantes asignadas al centro logístico ingresado por el usuario, imposibilitando errores de emisión cruzada entre sucursales.</w:t>
      </w:r>
    </w:p>
    <w:p>
      <w:pPr>
        <w:pStyle w:val="ListBullet"/>
        <w:spacing w:before="0" w:after="60" w:line="276" w:lineRule="auto"/>
      </w:pPr>
      <w:r>
        <w:rPr>
          <w:rFonts w:ascii="Segoe UI" w:hAnsi="Segoe UI"/>
          <w:b/>
          <w:color w:val="102542"/>
          <w:sz w:val="19"/>
        </w:rPr>
        <w:t xml:space="preserve">5.3 Tratamiento de Documentos en Contingencia: </w:t>
      </w:r>
      <w:r>
        <w:rPr>
          <w:rFonts w:ascii="Segoe UI" w:hAnsi="Segoe UI"/>
          <w:color w:val="1E293B"/>
          <w:sz w:val="19"/>
        </w:rPr>
        <w:t>Asignación de series exclusivas autorizadas para emisión de contingencia y procedimiento normado de sincronización posterior con el OSE para garantizar la continuidad operativa ante caídas de enlace.</w:t>
      </w:r>
    </w:p>
    <w:p>
      <w:pPr>
        <w:pStyle w:val="Heading2"/>
        <w:keepNext/>
        <w:spacing w:before="280" w:after="80"/>
      </w:pPr>
      <w:r>
        <w:rPr>
          <w:rFonts w:ascii="Segoe UI" w:hAnsi="Segoe UI"/>
          <w:b/>
          <w:color w:val="0070F2"/>
          <w:sz w:val="26"/>
        </w:rPr>
        <w:t>Módulo VI: Centro de Mando Fiori Horizons &amp; Droid Asistente Virtual</w:t>
      </w:r>
    </w:p>
    <w:p>
      <w:pPr>
        <w:spacing w:before="0" w:after="120" w:line="276" w:lineRule="auto"/>
      </w:pPr>
      <w:r>
        <w:rPr>
          <w:rFonts w:ascii="Segoe UI" w:hAnsi="Segoe UI"/>
          <w:color w:val="1E293B"/>
          <w:sz w:val="20"/>
        </w:rPr>
        <w:t>La cúspide de la solución DROID: modernidad visual e inteligencia artificial aplicada al día a día contable:</w:t>
      </w:r>
    </w:p>
    <w:p>
      <w:pPr>
        <w:pStyle w:val="ListBullet"/>
        <w:spacing w:before="0" w:after="60" w:line="276" w:lineRule="auto"/>
      </w:pPr>
      <w:r>
        <w:rPr>
          <w:rFonts w:ascii="Segoe UI" w:hAnsi="Segoe UI"/>
          <w:b/>
          <w:color w:val="102542"/>
          <w:sz w:val="19"/>
        </w:rPr>
        <w:t xml:space="preserve">6.1 Dashboard Centralizado de Cumplimiento Fiscal: </w:t>
      </w:r>
      <w:r>
        <w:rPr>
          <w:rFonts w:ascii="Segoe UI" w:hAnsi="Segoe UI"/>
          <w:color w:val="1E293B"/>
          <w:sz w:val="19"/>
        </w:rPr>
        <w:t>Cockpit ejecutivo diseñado bajo el lenguaje visual Horizons de SAP. Proporciona en una sola pantalla: porcentaje de conciliación SIRE en tiempo real (92.3%), monitor de detracciones pendientes por pagar, alertas de proveedores No Habidos detectados, calendario interactivo con fechas límites de vencimiento SUNAT según último dígito de RUC y registro cronológico de actividad en memoria SAP HANA.</w:t>
      </w:r>
    </w:p>
    <w:p>
      <w:pPr>
        <w:pStyle w:val="ListBullet"/>
        <w:spacing w:before="0" w:after="60" w:line="276" w:lineRule="auto"/>
      </w:pPr>
      <w:r>
        <w:rPr>
          <w:rFonts w:ascii="Segoe UI" w:hAnsi="Segoe UI"/>
          <w:b/>
          <w:color w:val="102542"/>
          <w:sz w:val="19"/>
        </w:rPr>
        <w:t xml:space="preserve">6.2 Droid Asistente Virtual (Copiloto Tributario IA): </w:t>
      </w:r>
      <w:r>
        <w:rPr>
          <w:rFonts w:ascii="Segoe UI" w:hAnsi="Segoe UI"/>
          <w:color w:val="1E293B"/>
          <w:sz w:val="19"/>
        </w:rPr>
        <w:t>Copiloto conversacional de IA integrado en el panel lateral de SAP Fiori. Permite a los usuarios consultar discrepancias entre compras declaradas y la propuesta SUNAT, indagar sobre la aplicación de normas tributarias en lenguaje natural, disparar la conformación de lotes de detracción para el Banco de la Nación y acceder directamente al documento contable origen en SAP sin salir de la vista.</w:t>
      </w:r>
    </w:p>
    <w:p>
      <w:r>
        <w:br w:type="page"/>
      </w:r>
    </w:p>
    <w:p>
      <w:pPr>
        <w:pStyle w:val="Heading1"/>
        <w:keepNext/>
        <w:spacing w:before="360" w:after="120"/>
      </w:pPr>
      <w:r>
        <w:rPr>
          <w:rFonts w:ascii="Segoe UI" w:hAnsi="Segoe UI"/>
          <w:b/>
          <w:color w:val="102542"/>
          <w:sz w:val="32"/>
        </w:rPr>
        <w:t>4. Metodología de Implementación &amp; Cronograma de Despliegue</w:t>
      </w:r>
    </w:p>
    <w:p>
      <w:pPr>
        <w:spacing w:before="0" w:after="120" w:line="276" w:lineRule="auto"/>
      </w:pPr>
      <w:r>
        <w:rPr>
          <w:rFonts w:ascii="Segoe UI" w:hAnsi="Segoe UI"/>
          <w:color w:val="1E293B"/>
          <w:sz w:val="20"/>
        </w:rPr>
        <w:t>DROID Consulting implementa sus proyectos bajo la metodología oficial SAP Activate, adaptada para despliegues ágiles de aceleradores normativos. El proyecto se estructura en un ciclo de diez (10) a doce (12) semanas:</w:t>
      </w:r>
    </w:p>
    <w:tbl>
      <w:tblPr>
        <w:tblW w:type="auto" w:w="0"/>
        <w:jc w:val="center"/>
        <w:tblLook w:firstColumn="1" w:firstRow="1" w:lastColumn="0" w:lastRow="0" w:noHBand="0" w:noVBand="1" w:val="04A0"/>
      </w:tblPr>
      <w:tblGrid>
        <w:gridCol w:w="2592"/>
        <w:gridCol w:w="1872"/>
        <w:gridCol w:w="5184"/>
      </w:tblGrid>
      <w:tr>
        <w:tc>
          <w:tcPr>
            <w:tcW w:type="dxa" w:w="3216"/>
            <w:shd w:fill="102542"/>
            <w:tcMar>
              <w:top w:w="100" w:type="dxa"/>
              <w:bottom w:w="100" w:type="dxa"/>
              <w:left w:w="120" w:type="dxa"/>
              <w:right w:w="120" w:type="dxa"/>
            </w:tcMar>
          </w:tcPr>
          <w:p>
            <w:pPr>
              <w:jc w:val="center"/>
            </w:pPr>
            <w:r>
              <w:rPr>
                <w:rFonts w:ascii="Segoe UI" w:hAnsi="Segoe UI"/>
                <w:b/>
                <w:color w:val="FFFFFF"/>
                <w:sz w:val="19"/>
              </w:rPr>
              <w:t>Fase SAP Activate</w:t>
            </w:r>
          </w:p>
        </w:tc>
        <w:tc>
          <w:tcPr>
            <w:tcW w:type="dxa" w:w="3216"/>
            <w:shd w:fill="102542"/>
            <w:tcMar>
              <w:top w:w="100" w:type="dxa"/>
              <w:bottom w:w="100" w:type="dxa"/>
              <w:left w:w="120" w:type="dxa"/>
              <w:right w:w="120" w:type="dxa"/>
            </w:tcMar>
          </w:tcPr>
          <w:p>
            <w:pPr>
              <w:jc w:val="center"/>
            </w:pPr>
            <w:r>
              <w:rPr>
                <w:rFonts w:ascii="Segoe UI" w:hAnsi="Segoe UI"/>
                <w:b/>
                <w:color w:val="FFFFFF"/>
                <w:sz w:val="19"/>
              </w:rPr>
              <w:t>Plazo Estimado</w:t>
            </w:r>
          </w:p>
        </w:tc>
        <w:tc>
          <w:tcPr>
            <w:tcW w:type="dxa" w:w="3216"/>
            <w:shd w:fill="102542"/>
            <w:tcMar>
              <w:top w:w="100" w:type="dxa"/>
              <w:bottom w:w="100" w:type="dxa"/>
              <w:left w:w="120" w:type="dxa"/>
              <w:right w:w="120" w:type="dxa"/>
            </w:tcMar>
          </w:tcPr>
          <w:p>
            <w:pPr>
              <w:jc w:val="center"/>
            </w:pPr>
            <w:r>
              <w:rPr>
                <w:rFonts w:ascii="Segoe UI" w:hAnsi="Segoe UI"/>
                <w:b/>
                <w:color w:val="FFFFFF"/>
                <w:sz w:val="19"/>
              </w:rPr>
              <w:t>Actividades Principales y Entregables Clave</w:t>
            </w:r>
          </w:p>
        </w:tc>
      </w:tr>
      <w:tr>
        <w:tc>
          <w:tcPr>
            <w:tcW w:type="dxa" w:w="3216"/>
            <w:shd w:fill="FFFFFF"/>
            <w:tcMar>
              <w:top w:w="80" w:type="dxa"/>
              <w:bottom w:w="80" w:type="dxa"/>
              <w:left w:w="100" w:type="dxa"/>
              <w:right w:w="100" w:type="dxa"/>
            </w:tcMar>
            <w:tcBorders>
              <w:top w:val="single" w:sz="4" w:space="0" w:color="E2E8F0"/>
              <w:bottom w:val="single" w:sz="4" w:space="0" w:color="E2E8F0"/>
              <w:left w:val="none"/>
              <w:right w:val="none"/>
            </w:tcBorders>
          </w:tcPr>
          <w:p>
            <w:pPr>
              <w:spacing w:after="40" w:line="276" w:lineRule="auto"/>
            </w:pPr>
            <w:r>
              <w:rPr>
                <w:rFonts w:ascii="Segoe UI" w:hAnsi="Segoe UI"/>
                <w:b/>
                <w:color w:val="102542"/>
                <w:sz w:val="18"/>
              </w:rPr>
              <w:t>Fase 1: Prepare &amp; Explore</w:t>
            </w:r>
          </w:p>
        </w:tc>
        <w:tc>
          <w:tcPr>
            <w:tcW w:type="dxa" w:w="3216"/>
            <w:shd w:fill="FFFFFF"/>
            <w:tcMar>
              <w:top w:w="80" w:type="dxa"/>
              <w:bottom w:w="80" w:type="dxa"/>
              <w:left w:w="100" w:type="dxa"/>
              <w:right w:w="100" w:type="dxa"/>
            </w:tcMar>
            <w:tcBorders>
              <w:top w:val="single" w:sz="4" w:space="0" w:color="E2E8F0"/>
              <w:bottom w:val="single" w:sz="4" w:space="0" w:color="E2E8F0"/>
              <w:left w:val="none"/>
              <w:right w:val="none"/>
            </w:tcBorders>
          </w:tcPr>
          <w:p>
            <w:pPr>
              <w:spacing w:after="40" w:line="276" w:lineRule="auto"/>
            </w:pPr>
            <w:r>
              <w:rPr>
                <w:rFonts w:ascii="Segoe UI" w:hAnsi="Segoe UI"/>
                <w:b/>
                <w:color w:val="0070F2"/>
                <w:sz w:val="18"/>
              </w:rPr>
              <w:t>Semanas 1 a 2</w:t>
            </w:r>
          </w:p>
        </w:tc>
        <w:tc>
          <w:tcPr>
            <w:tcW w:type="dxa" w:w="3216"/>
            <w:shd w:fill="FFFFFF"/>
            <w:tcMar>
              <w:top w:w="80" w:type="dxa"/>
              <w:bottom w:w="80" w:type="dxa"/>
              <w:left w:w="100" w:type="dxa"/>
              <w:right w:w="100" w:type="dxa"/>
            </w:tcMar>
            <w:tcBorders>
              <w:top w:val="single" w:sz="4" w:space="0" w:color="E2E8F0"/>
              <w:bottom w:val="single" w:sz="4" w:space="0" w:color="E2E8F0"/>
              <w:left w:val="none"/>
              <w:right w:val="none"/>
            </w:tcBorders>
          </w:tcPr>
          <w:p>
            <w:pPr>
              <w:spacing w:after="40" w:line="276" w:lineRule="auto"/>
            </w:pPr>
            <w:r>
              <w:rPr>
                <w:rFonts w:ascii="Segoe UI" w:hAnsi="Segoe UI"/>
                <w:color w:val="1E293B"/>
                <w:sz w:val="18"/>
              </w:rPr>
              <w:t>Alineamiento de arquitectura y conectividad CPI/SFTP.</w:t>
              <w:br/>
              <w:t>Talleres de homologación funcional con bancos (BBVA, Interbank) y OSE.</w:t>
              <w:br/>
              <w:t>Revisión de plan de cuentas y matriz de parametrización.</w:t>
              <w:br/>
              <w:t>Entregable: Documento de Diseño BPD / Matriz To-Be.</w:t>
            </w:r>
          </w:p>
        </w:tc>
      </w:tr>
      <w:tr>
        <w:tc>
          <w:tcPr>
            <w:tcW w:type="dxa" w:w="3216"/>
            <w:shd w:fill="F4F7FB"/>
            <w:tcMar>
              <w:top w:w="80" w:type="dxa"/>
              <w:bottom w:w="80" w:type="dxa"/>
              <w:left w:w="100" w:type="dxa"/>
              <w:right w:w="100" w:type="dxa"/>
            </w:tcMar>
            <w:tcBorders>
              <w:top w:val="single" w:sz="4" w:space="0" w:color="E2E8F0"/>
              <w:bottom w:val="single" w:sz="4" w:space="0" w:color="E2E8F0"/>
              <w:left w:val="none"/>
              <w:right w:val="none"/>
            </w:tcBorders>
          </w:tcPr>
          <w:p>
            <w:pPr>
              <w:spacing w:after="40" w:line="276" w:lineRule="auto"/>
            </w:pPr>
            <w:r>
              <w:rPr>
                <w:rFonts w:ascii="Segoe UI" w:hAnsi="Segoe UI"/>
                <w:b/>
                <w:color w:val="102542"/>
                <w:sz w:val="18"/>
              </w:rPr>
              <w:t>Fase 2: Realize (Sprint 1)</w:t>
            </w:r>
          </w:p>
        </w:tc>
        <w:tc>
          <w:tcPr>
            <w:tcW w:type="dxa" w:w="3216"/>
            <w:shd w:fill="F4F7FB"/>
            <w:tcMar>
              <w:top w:w="80" w:type="dxa"/>
              <w:bottom w:w="80" w:type="dxa"/>
              <w:left w:w="100" w:type="dxa"/>
              <w:right w:w="100" w:type="dxa"/>
            </w:tcMar>
            <w:tcBorders>
              <w:top w:val="single" w:sz="4" w:space="0" w:color="E2E8F0"/>
              <w:bottom w:val="single" w:sz="4" w:space="0" w:color="E2E8F0"/>
              <w:left w:val="none"/>
              <w:right w:val="none"/>
            </w:tcBorders>
          </w:tcPr>
          <w:p>
            <w:pPr>
              <w:spacing w:after="40" w:line="276" w:lineRule="auto"/>
            </w:pPr>
            <w:r>
              <w:rPr>
                <w:rFonts w:ascii="Segoe UI" w:hAnsi="Segoe UI"/>
                <w:b/>
                <w:color w:val="0070F2"/>
                <w:sz w:val="18"/>
              </w:rPr>
              <w:t>Semanas 3 a 6</w:t>
            </w:r>
          </w:p>
        </w:tc>
        <w:tc>
          <w:tcPr>
            <w:tcW w:type="dxa" w:w="3216"/>
            <w:shd w:fill="F4F7FB"/>
            <w:tcMar>
              <w:top w:w="80" w:type="dxa"/>
              <w:bottom w:w="80" w:type="dxa"/>
              <w:left w:w="100" w:type="dxa"/>
              <w:right w:w="100" w:type="dxa"/>
            </w:tcMar>
            <w:tcBorders>
              <w:top w:val="single" w:sz="4" w:space="0" w:color="E2E8F0"/>
              <w:bottom w:val="single" w:sz="4" w:space="0" w:color="E2E8F0"/>
              <w:left w:val="none"/>
              <w:right w:val="none"/>
            </w:tcBorders>
          </w:tcPr>
          <w:p>
            <w:pPr>
              <w:spacing w:after="40" w:line="276" w:lineRule="auto"/>
            </w:pPr>
            <w:r>
              <w:rPr>
                <w:rFonts w:ascii="Segoe UI" w:hAnsi="Segoe UI"/>
                <w:color w:val="1E293B"/>
                <w:sz w:val="18"/>
              </w:rPr>
              <w:t>Despliegue de SSCO, Embargo coactivo y Retenciones CxC.</w:t>
              <w:br/>
              <w:t>Configuración de Percepciones CxP en MM/MIRO y validaciones de emisión.</w:t>
              <w:br/>
              <w:t>Construcción de vistas CDS y generación de libros PLE (3.1 al 3.24).</w:t>
              <w:br/>
              <w:t>Entregable: Prototipo funcional en ambiente DEV/QAS.</w:t>
            </w:r>
          </w:p>
        </w:tc>
      </w:tr>
      <w:tr>
        <w:tc>
          <w:tcPr>
            <w:tcW w:type="dxa" w:w="3216"/>
            <w:shd w:fill="FFFFFF"/>
            <w:tcMar>
              <w:top w:w="80" w:type="dxa"/>
              <w:bottom w:w="80" w:type="dxa"/>
              <w:left w:w="100" w:type="dxa"/>
              <w:right w:w="100" w:type="dxa"/>
            </w:tcMar>
            <w:tcBorders>
              <w:top w:val="single" w:sz="4" w:space="0" w:color="E2E8F0"/>
              <w:bottom w:val="single" w:sz="4" w:space="0" w:color="E2E8F0"/>
              <w:left w:val="none"/>
              <w:right w:val="none"/>
            </w:tcBorders>
          </w:tcPr>
          <w:p>
            <w:pPr>
              <w:spacing w:after="40" w:line="276" w:lineRule="auto"/>
            </w:pPr>
            <w:r>
              <w:rPr>
                <w:rFonts w:ascii="Segoe UI" w:hAnsi="Segoe UI"/>
                <w:b/>
                <w:color w:val="102542"/>
                <w:sz w:val="18"/>
              </w:rPr>
              <w:t>Fase 3: Realize (Sprint 2)</w:t>
            </w:r>
          </w:p>
        </w:tc>
        <w:tc>
          <w:tcPr>
            <w:tcW w:type="dxa" w:w="3216"/>
            <w:shd w:fill="FFFFFF"/>
            <w:tcMar>
              <w:top w:w="80" w:type="dxa"/>
              <w:bottom w:w="80" w:type="dxa"/>
              <w:left w:w="100" w:type="dxa"/>
              <w:right w:w="100" w:type="dxa"/>
            </w:tcMar>
            <w:tcBorders>
              <w:top w:val="single" w:sz="4" w:space="0" w:color="E2E8F0"/>
              <w:bottom w:val="single" w:sz="4" w:space="0" w:color="E2E8F0"/>
              <w:left w:val="none"/>
              <w:right w:val="none"/>
            </w:tcBorders>
          </w:tcPr>
          <w:p>
            <w:pPr>
              <w:spacing w:after="40" w:line="276" w:lineRule="auto"/>
            </w:pPr>
            <w:r>
              <w:rPr>
                <w:rFonts w:ascii="Segoe UI" w:hAnsi="Segoe UI"/>
                <w:b/>
                <w:color w:val="0070F2"/>
                <w:sz w:val="18"/>
              </w:rPr>
              <w:t>Semanas 7 a 8</w:t>
            </w:r>
          </w:p>
        </w:tc>
        <w:tc>
          <w:tcPr>
            <w:tcW w:type="dxa" w:w="3216"/>
            <w:shd w:fill="FFFFFF"/>
            <w:tcMar>
              <w:top w:w="80" w:type="dxa"/>
              <w:bottom w:w="80" w:type="dxa"/>
              <w:left w:w="100" w:type="dxa"/>
              <w:right w:w="100" w:type="dxa"/>
            </w:tcMar>
            <w:tcBorders>
              <w:top w:val="single" w:sz="4" w:space="0" w:color="E2E8F0"/>
              <w:bottom w:val="single" w:sz="4" w:space="0" w:color="E2E8F0"/>
              <w:left w:val="none"/>
              <w:right w:val="none"/>
            </w:tcBorders>
          </w:tcPr>
          <w:p>
            <w:pPr>
              <w:spacing w:after="40" w:line="276" w:lineRule="auto"/>
            </w:pPr>
            <w:r>
              <w:rPr>
                <w:rFonts w:ascii="Segoe UI" w:hAnsi="Segoe UI"/>
                <w:color w:val="1E293B"/>
                <w:sz w:val="18"/>
              </w:rPr>
              <w:t>Implementación de Host to Web con bancos (llaves PGP, SFTP y F110).</w:t>
              <w:br/>
              <w:t>Configuración del monitor de impresión masiva GRE/FE y Series IDCP.</w:t>
              <w:br/>
              <w:t>Pruebas unitarias de transmisión y recepción de estados de pago.</w:t>
              <w:br/>
              <w:t>Entregable: Conectores bancarios y OSE certificados en ambiente de pruebas.</w:t>
            </w:r>
          </w:p>
        </w:tc>
      </w:tr>
      <w:tr>
        <w:tc>
          <w:tcPr>
            <w:tcW w:type="dxa" w:w="3216"/>
            <w:shd w:fill="F4F7FB"/>
            <w:tcMar>
              <w:top w:w="80" w:type="dxa"/>
              <w:bottom w:w="80" w:type="dxa"/>
              <w:left w:w="100" w:type="dxa"/>
              <w:right w:w="100" w:type="dxa"/>
            </w:tcMar>
            <w:tcBorders>
              <w:top w:val="single" w:sz="4" w:space="0" w:color="E2E8F0"/>
              <w:bottom w:val="single" w:sz="4" w:space="0" w:color="E2E8F0"/>
              <w:left w:val="none"/>
              <w:right w:val="none"/>
            </w:tcBorders>
          </w:tcPr>
          <w:p>
            <w:pPr>
              <w:spacing w:after="40" w:line="276" w:lineRule="auto"/>
            </w:pPr>
            <w:r>
              <w:rPr>
                <w:rFonts w:ascii="Segoe UI" w:hAnsi="Segoe UI"/>
                <w:b/>
                <w:color w:val="102542"/>
                <w:sz w:val="18"/>
              </w:rPr>
              <w:t>Fase 4: Deploy (UAT &amp; Training)</w:t>
            </w:r>
          </w:p>
        </w:tc>
        <w:tc>
          <w:tcPr>
            <w:tcW w:type="dxa" w:w="3216"/>
            <w:shd w:fill="F4F7FB"/>
            <w:tcMar>
              <w:top w:w="80" w:type="dxa"/>
              <w:bottom w:w="80" w:type="dxa"/>
              <w:left w:w="100" w:type="dxa"/>
              <w:right w:w="100" w:type="dxa"/>
            </w:tcMar>
            <w:tcBorders>
              <w:top w:val="single" w:sz="4" w:space="0" w:color="E2E8F0"/>
              <w:bottom w:val="single" w:sz="4" w:space="0" w:color="E2E8F0"/>
              <w:left w:val="none"/>
              <w:right w:val="none"/>
            </w:tcBorders>
          </w:tcPr>
          <w:p>
            <w:pPr>
              <w:spacing w:after="40" w:line="276" w:lineRule="auto"/>
            </w:pPr>
            <w:r>
              <w:rPr>
                <w:rFonts w:ascii="Segoe UI" w:hAnsi="Segoe UI"/>
                <w:b/>
                <w:color w:val="0070F2"/>
                <w:sz w:val="18"/>
              </w:rPr>
              <w:t>Semanas 9 a 10</w:t>
            </w:r>
          </w:p>
        </w:tc>
        <w:tc>
          <w:tcPr>
            <w:tcW w:type="dxa" w:w="3216"/>
            <w:shd w:fill="F4F7FB"/>
            <w:tcMar>
              <w:top w:w="80" w:type="dxa"/>
              <w:bottom w:w="80" w:type="dxa"/>
              <w:left w:w="100" w:type="dxa"/>
              <w:right w:w="100" w:type="dxa"/>
            </w:tcMar>
            <w:tcBorders>
              <w:top w:val="single" w:sz="4" w:space="0" w:color="E2E8F0"/>
              <w:bottom w:val="single" w:sz="4" w:space="0" w:color="E2E8F0"/>
              <w:left w:val="none"/>
              <w:right w:val="none"/>
            </w:tcBorders>
          </w:tcPr>
          <w:p>
            <w:pPr>
              <w:spacing w:after="40" w:line="276" w:lineRule="auto"/>
            </w:pPr>
            <w:r>
              <w:rPr>
                <w:rFonts w:ascii="Segoe UI" w:hAnsi="Segoe UI"/>
                <w:color w:val="1E293B"/>
                <w:sz w:val="18"/>
              </w:rPr>
              <w:t>Ejecución de Pruebas Integrales de Usuario (User Acceptance Testing - UAT).</w:t>
              <w:br/>
              <w:t>Capacitación a usuarios clave de Contabilidad, Compras, Ventas y Tesorería.</w:t>
              <w:br/>
              <w:t>Preparación y verificación del plan de corte y Órdenes de Transporte (OT).</w:t>
              <w:br/>
              <w:t>Entregable: Acta formal de aprobación de pruebas UAT y Manuales de Usuario.</w:t>
            </w:r>
          </w:p>
        </w:tc>
      </w:tr>
      <w:tr>
        <w:tc>
          <w:tcPr>
            <w:tcW w:type="dxa" w:w="3216"/>
            <w:shd w:fill="FFFFFF"/>
            <w:tcMar>
              <w:top w:w="80" w:type="dxa"/>
              <w:bottom w:w="80" w:type="dxa"/>
              <w:left w:w="100" w:type="dxa"/>
              <w:right w:w="100" w:type="dxa"/>
            </w:tcMar>
            <w:tcBorders>
              <w:top w:val="single" w:sz="4" w:space="0" w:color="E2E8F0"/>
              <w:bottom w:val="single" w:sz="4" w:space="0" w:color="E2E8F0"/>
              <w:left w:val="none"/>
              <w:right w:val="none"/>
            </w:tcBorders>
          </w:tcPr>
          <w:p>
            <w:pPr>
              <w:spacing w:after="40" w:line="276" w:lineRule="auto"/>
            </w:pPr>
            <w:r>
              <w:rPr>
                <w:rFonts w:ascii="Segoe UI" w:hAnsi="Segoe UI"/>
                <w:b/>
                <w:color w:val="102542"/>
                <w:sz w:val="18"/>
              </w:rPr>
              <w:t>Fase 5: Run &amp; Hipercare</w:t>
            </w:r>
          </w:p>
        </w:tc>
        <w:tc>
          <w:tcPr>
            <w:tcW w:type="dxa" w:w="3216"/>
            <w:shd w:fill="FFFFFF"/>
            <w:tcMar>
              <w:top w:w="80" w:type="dxa"/>
              <w:bottom w:w="80" w:type="dxa"/>
              <w:left w:w="100" w:type="dxa"/>
              <w:right w:w="100" w:type="dxa"/>
            </w:tcMar>
            <w:tcBorders>
              <w:top w:val="single" w:sz="4" w:space="0" w:color="E2E8F0"/>
              <w:bottom w:val="single" w:sz="4" w:space="0" w:color="E2E8F0"/>
              <w:left w:val="none"/>
              <w:right w:val="none"/>
            </w:tcBorders>
          </w:tcPr>
          <w:p>
            <w:pPr>
              <w:spacing w:after="40" w:line="276" w:lineRule="auto"/>
            </w:pPr>
            <w:r>
              <w:rPr>
                <w:rFonts w:ascii="Segoe UI" w:hAnsi="Segoe UI"/>
                <w:b/>
                <w:color w:val="0070F2"/>
                <w:sz w:val="18"/>
              </w:rPr>
              <w:t>Semanas 11 a 12</w:t>
            </w:r>
          </w:p>
        </w:tc>
        <w:tc>
          <w:tcPr>
            <w:tcW w:type="dxa" w:w="3216"/>
            <w:shd w:fill="FFFFFF"/>
            <w:tcMar>
              <w:top w:w="80" w:type="dxa"/>
              <w:bottom w:w="80" w:type="dxa"/>
              <w:left w:w="100" w:type="dxa"/>
              <w:right w:w="100" w:type="dxa"/>
            </w:tcMar>
            <w:tcBorders>
              <w:top w:val="single" w:sz="4" w:space="0" w:color="E2E8F0"/>
              <w:bottom w:val="single" w:sz="4" w:space="0" w:color="E2E8F0"/>
              <w:left w:val="none"/>
              <w:right w:val="none"/>
            </w:tcBorders>
          </w:tcPr>
          <w:p>
            <w:pPr>
              <w:spacing w:after="40" w:line="276" w:lineRule="auto"/>
            </w:pPr>
            <w:r>
              <w:rPr>
                <w:rFonts w:ascii="Segoe UI" w:hAnsi="Segoe UI"/>
                <w:color w:val="1E293B"/>
                <w:sz w:val="18"/>
              </w:rPr>
              <w:t>Paso a producción (Go-Live) y carga inicial de padrones SUNAT.</w:t>
              <w:br/>
              <w:t>Acompañamiento presencial/remoto en el primer cierre contable y liquidación mensual.</w:t>
              <w:br/>
              <w:t>Soporte post go-live (Hipercare) y transferencia formal a mantenimiento continuo.</w:t>
              <w:br/>
              <w:t>Entregable: Acta de Cierre de Proyecto y Activación de Garantía.</w:t>
            </w:r>
          </w:p>
        </w:tc>
      </w:tr>
    </w:tbl>
    <w:p>
      <w:pPr>
        <w:spacing w:after="160"/>
      </w:pPr>
    </w:p>
    <w:p>
      <w:pPr>
        <w:pStyle w:val="Heading1"/>
        <w:keepNext/>
        <w:spacing w:before="360" w:after="120"/>
      </w:pPr>
      <w:r>
        <w:rPr>
          <w:rFonts w:ascii="Segoe UI" w:hAnsi="Segoe UI"/>
          <w:b/>
          <w:color w:val="102542"/>
          <w:sz w:val="32"/>
        </w:rPr>
        <w:t>5. Propuesta Económica &amp; Equipo Consultor</w:t>
      </w:r>
    </w:p>
    <w:p>
      <w:pPr>
        <w:spacing w:before="0" w:after="120" w:line="276" w:lineRule="auto"/>
      </w:pPr>
      <w:r>
        <w:rPr>
          <w:rFonts w:ascii="Segoe UI" w:hAnsi="Segoe UI"/>
          <w:color w:val="1E293B"/>
          <w:sz w:val="20"/>
        </w:rPr>
        <w:t>DROID Consulting propone un modelo de inversión a precio fijo (Lump Sum) que garantiza la entrega completa de todas las funcionalidades sin sorpresas de sobrecostos ni controles de cambio por alcance base:</w:t>
      </w:r>
    </w:p>
    <w:tbl>
      <w:tblPr>
        <w:tblW w:type="auto" w:w="0"/>
        <w:jc w:val="center"/>
        <w:tblLook w:firstColumn="1" w:firstRow="1" w:lastColumn="0" w:lastRow="0" w:noHBand="0" w:noVBand="1" w:val="04A0"/>
      </w:tblPr>
      <w:tblGrid>
        <w:gridCol w:w="3168"/>
        <w:gridCol w:w="4752"/>
        <w:gridCol w:w="1728"/>
      </w:tblGrid>
      <w:tr>
        <w:tc>
          <w:tcPr>
            <w:tcW w:type="dxa" w:w="3216"/>
            <w:shd w:fill="102542"/>
            <w:tcMar>
              <w:top w:w="100" w:type="dxa"/>
              <w:bottom w:w="100" w:type="dxa"/>
              <w:left w:w="120" w:type="dxa"/>
              <w:right w:w="120" w:type="dxa"/>
            </w:tcMar>
          </w:tcPr>
          <w:p>
            <w:pPr>
              <w:jc w:val="center"/>
            </w:pPr>
            <w:r>
              <w:rPr>
                <w:rFonts w:ascii="Segoe UI" w:hAnsi="Segoe UI"/>
                <w:b/>
                <w:color w:val="FFFFFF"/>
                <w:sz w:val="19"/>
              </w:rPr>
              <w:t>Componente de Solución / Módulo</w:t>
            </w:r>
          </w:p>
        </w:tc>
        <w:tc>
          <w:tcPr>
            <w:tcW w:type="dxa" w:w="3216"/>
            <w:shd w:fill="102542"/>
            <w:tcMar>
              <w:top w:w="100" w:type="dxa"/>
              <w:bottom w:w="100" w:type="dxa"/>
              <w:left w:w="120" w:type="dxa"/>
              <w:right w:w="120" w:type="dxa"/>
            </w:tcMar>
          </w:tcPr>
          <w:p>
            <w:pPr>
              <w:jc w:val="center"/>
            </w:pPr>
            <w:r>
              <w:rPr>
                <w:rFonts w:ascii="Segoe UI" w:hAnsi="Segoe UI"/>
                <w:b/>
                <w:color w:val="FFFFFF"/>
                <w:sz w:val="19"/>
              </w:rPr>
              <w:t>Alcance Tecnológico Incluido</w:t>
            </w:r>
          </w:p>
        </w:tc>
        <w:tc>
          <w:tcPr>
            <w:tcW w:type="dxa" w:w="3216"/>
            <w:shd w:fill="102542"/>
            <w:tcMar>
              <w:top w:w="100" w:type="dxa"/>
              <w:bottom w:w="100" w:type="dxa"/>
              <w:left w:w="120" w:type="dxa"/>
              <w:right w:w="120" w:type="dxa"/>
            </w:tcMar>
          </w:tcPr>
          <w:p>
            <w:pPr>
              <w:jc w:val="center"/>
            </w:pPr>
            <w:r>
              <w:rPr>
                <w:rFonts w:ascii="Segoe UI" w:hAnsi="Segoe UI"/>
                <w:b/>
                <w:color w:val="FFFFFF"/>
                <w:sz w:val="19"/>
              </w:rPr>
              <w:t>Inversión (USD)</w:t>
            </w:r>
          </w:p>
        </w:tc>
      </w:tr>
      <w:tr>
        <w:tc>
          <w:tcPr>
            <w:tcW w:type="dxa" w:w="3216"/>
            <w:shd w:fill="FFFFFF"/>
            <w:tcMar>
              <w:top w:w="80" w:type="dxa"/>
              <w:bottom w:w="80" w:type="dxa"/>
              <w:left w:w="100" w:type="dxa"/>
              <w:right w:w="100" w:type="dxa"/>
            </w:tcMar>
            <w:tcBorders>
              <w:top w:val="single" w:sz="4" w:space="0" w:color="E2E8F0"/>
              <w:bottom w:val="single" w:sz="4" w:space="0" w:color="E2E8F0"/>
              <w:left w:val="none"/>
              <w:right w:val="none"/>
            </w:tcBorders>
          </w:tcPr>
          <w:p>
            <w:pPr>
              <w:spacing w:after="40"/>
            </w:pPr>
            <w:r>
              <w:rPr>
                <w:rFonts w:ascii="Segoe UI" w:hAnsi="Segoe UI"/>
                <w:b/>
                <w:color w:val="102542"/>
                <w:sz w:val="18"/>
              </w:rPr>
              <w:t>Módulo I &amp; II: Blindaje Fiscal e Impuestos</w:t>
            </w:r>
          </w:p>
        </w:tc>
        <w:tc>
          <w:tcPr>
            <w:tcW w:type="dxa" w:w="3216"/>
            <w:shd w:fill="FFFFFF"/>
            <w:tcMar>
              <w:top w:w="80" w:type="dxa"/>
              <w:bottom w:w="80" w:type="dxa"/>
              <w:left w:w="100" w:type="dxa"/>
              <w:right w:w="100" w:type="dxa"/>
            </w:tcMar>
            <w:tcBorders>
              <w:top w:val="single" w:sz="4" w:space="0" w:color="E2E8F0"/>
              <w:bottom w:val="single" w:sz="4" w:space="0" w:color="E2E8F0"/>
              <w:left w:val="none"/>
              <w:right w:val="none"/>
            </w:tcBorders>
          </w:tcPr>
          <w:p>
            <w:pPr>
              <w:spacing w:after="40"/>
            </w:pPr>
            <w:r>
              <w:rPr>
                <w:rFonts w:ascii="Segoe UI" w:hAnsi="Segoe UI"/>
                <w:color w:val="1E293B"/>
                <w:sz w:val="18"/>
              </w:rPr>
              <w:t>SSCO, Embargo Coactivo F110, Retenciones CxC, Percepciones CxP y Validaciones.</w:t>
            </w:r>
          </w:p>
        </w:tc>
        <w:tc>
          <w:tcPr>
            <w:tcW w:type="dxa" w:w="3216"/>
            <w:shd w:fill="FFFFFF"/>
            <w:tcMar>
              <w:top w:w="80" w:type="dxa"/>
              <w:bottom w:w="80" w:type="dxa"/>
              <w:left w:w="100" w:type="dxa"/>
              <w:right w:w="100" w:type="dxa"/>
            </w:tcMar>
            <w:tcBorders>
              <w:top w:val="single" w:sz="4" w:space="0" w:color="E2E8F0"/>
              <w:bottom w:val="single" w:sz="4" w:space="0" w:color="E2E8F0"/>
              <w:left w:val="none"/>
              <w:right w:val="none"/>
            </w:tcBorders>
          </w:tcPr>
          <w:p>
            <w:pPr>
              <w:spacing w:after="40"/>
              <w:jc w:val="right"/>
            </w:pPr>
            <w:r>
              <w:rPr>
                <w:rFonts w:ascii="Segoe UI" w:hAnsi="Segoe UI"/>
                <w:b/>
                <w:color w:val="0070F2"/>
                <w:sz w:val="18"/>
              </w:rPr>
              <w:t>USD $ 9,500.00</w:t>
            </w:r>
          </w:p>
        </w:tc>
      </w:tr>
      <w:tr>
        <w:tc>
          <w:tcPr>
            <w:tcW w:type="dxa" w:w="3216"/>
            <w:shd w:fill="F4F7FB"/>
            <w:tcMar>
              <w:top w:w="80" w:type="dxa"/>
              <w:bottom w:w="80" w:type="dxa"/>
              <w:left w:w="100" w:type="dxa"/>
              <w:right w:w="100" w:type="dxa"/>
            </w:tcMar>
            <w:tcBorders>
              <w:top w:val="single" w:sz="4" w:space="0" w:color="E2E8F0"/>
              <w:bottom w:val="single" w:sz="4" w:space="0" w:color="E2E8F0"/>
              <w:left w:val="none"/>
              <w:right w:val="none"/>
            </w:tcBorders>
          </w:tcPr>
          <w:p>
            <w:pPr>
              <w:spacing w:after="40"/>
            </w:pPr>
            <w:r>
              <w:rPr>
                <w:rFonts w:ascii="Segoe UI" w:hAnsi="Segoe UI"/>
                <w:b/>
                <w:color w:val="102542"/>
                <w:sz w:val="18"/>
              </w:rPr>
              <w:t>Módulo III: SIRE y Libros PLE Completos</w:t>
            </w:r>
          </w:p>
        </w:tc>
        <w:tc>
          <w:tcPr>
            <w:tcW w:type="dxa" w:w="3216"/>
            <w:shd w:fill="F4F7FB"/>
            <w:tcMar>
              <w:top w:w="80" w:type="dxa"/>
              <w:bottom w:w="80" w:type="dxa"/>
              <w:left w:w="100" w:type="dxa"/>
              <w:right w:w="100" w:type="dxa"/>
            </w:tcMar>
            <w:tcBorders>
              <w:top w:val="single" w:sz="4" w:space="0" w:color="E2E8F0"/>
              <w:bottom w:val="single" w:sz="4" w:space="0" w:color="E2E8F0"/>
              <w:left w:val="none"/>
              <w:right w:val="none"/>
            </w:tcBorders>
          </w:tcPr>
          <w:p>
            <w:pPr>
              <w:spacing w:after="40"/>
            </w:pPr>
            <w:r>
              <w:rPr>
                <w:rFonts w:ascii="Segoe UI" w:hAnsi="Segoe UI"/>
                <w:color w:val="1E293B"/>
                <w:sz w:val="18"/>
              </w:rPr>
              <w:t>SIRE RCE/RVIE inteligente, No Domiciliados (PDT 617) y Libros PLE 3.1 al 3.24.</w:t>
            </w:r>
          </w:p>
        </w:tc>
        <w:tc>
          <w:tcPr>
            <w:tcW w:type="dxa" w:w="3216"/>
            <w:shd w:fill="F4F7FB"/>
            <w:tcMar>
              <w:top w:w="80" w:type="dxa"/>
              <w:bottom w:w="80" w:type="dxa"/>
              <w:left w:w="100" w:type="dxa"/>
              <w:right w:w="100" w:type="dxa"/>
            </w:tcMar>
            <w:tcBorders>
              <w:top w:val="single" w:sz="4" w:space="0" w:color="E2E8F0"/>
              <w:bottom w:val="single" w:sz="4" w:space="0" w:color="E2E8F0"/>
              <w:left w:val="none"/>
              <w:right w:val="none"/>
            </w:tcBorders>
          </w:tcPr>
          <w:p>
            <w:pPr>
              <w:spacing w:after="40"/>
              <w:jc w:val="right"/>
            </w:pPr>
            <w:r>
              <w:rPr>
                <w:rFonts w:ascii="Segoe UI" w:hAnsi="Segoe UI"/>
                <w:b/>
                <w:color w:val="0070F2"/>
                <w:sz w:val="18"/>
              </w:rPr>
              <w:t>USD $ 8,500.00</w:t>
            </w:r>
          </w:p>
        </w:tc>
      </w:tr>
      <w:tr>
        <w:tc>
          <w:tcPr>
            <w:tcW w:type="dxa" w:w="3216"/>
            <w:shd w:fill="FFFFFF"/>
            <w:tcMar>
              <w:top w:w="80" w:type="dxa"/>
              <w:bottom w:w="80" w:type="dxa"/>
              <w:left w:w="100" w:type="dxa"/>
              <w:right w:w="100" w:type="dxa"/>
            </w:tcMar>
            <w:tcBorders>
              <w:top w:val="single" w:sz="4" w:space="0" w:color="E2E8F0"/>
              <w:bottom w:val="single" w:sz="4" w:space="0" w:color="E2E8F0"/>
              <w:left w:val="none"/>
              <w:right w:val="none"/>
            </w:tcBorders>
          </w:tcPr>
          <w:p>
            <w:pPr>
              <w:spacing w:after="40"/>
            </w:pPr>
            <w:r>
              <w:rPr>
                <w:rFonts w:ascii="Segoe UI" w:hAnsi="Segoe UI"/>
                <w:b/>
                <w:color w:val="102542"/>
                <w:sz w:val="18"/>
              </w:rPr>
              <w:t>Módulo IV: Conectividad Bancaria Host to Web</w:t>
            </w:r>
          </w:p>
        </w:tc>
        <w:tc>
          <w:tcPr>
            <w:tcW w:type="dxa" w:w="3216"/>
            <w:shd w:fill="FFFFFF"/>
            <w:tcMar>
              <w:top w:w="80" w:type="dxa"/>
              <w:bottom w:w="80" w:type="dxa"/>
              <w:left w:w="100" w:type="dxa"/>
              <w:right w:w="100" w:type="dxa"/>
            </w:tcMar>
            <w:tcBorders>
              <w:top w:val="single" w:sz="4" w:space="0" w:color="E2E8F0"/>
              <w:bottom w:val="single" w:sz="4" w:space="0" w:color="E2E8F0"/>
              <w:left w:val="none"/>
              <w:right w:val="none"/>
            </w:tcBorders>
          </w:tcPr>
          <w:p>
            <w:pPr>
              <w:spacing w:after="40"/>
            </w:pPr>
            <w:r>
              <w:rPr>
                <w:rFonts w:ascii="Segoe UI" w:hAnsi="Segoe UI"/>
                <w:color w:val="1E293B"/>
                <w:sz w:val="18"/>
              </w:rPr>
              <w:t>Integración CPI multibanco (BBVA, Interbank, BCP, Banbif), PGP, F110 y doble aprobación.</w:t>
            </w:r>
          </w:p>
        </w:tc>
        <w:tc>
          <w:tcPr>
            <w:tcW w:type="dxa" w:w="3216"/>
            <w:shd w:fill="FFFFFF"/>
            <w:tcMar>
              <w:top w:w="80" w:type="dxa"/>
              <w:bottom w:w="80" w:type="dxa"/>
              <w:left w:w="100" w:type="dxa"/>
              <w:right w:w="100" w:type="dxa"/>
            </w:tcMar>
            <w:tcBorders>
              <w:top w:val="single" w:sz="4" w:space="0" w:color="E2E8F0"/>
              <w:bottom w:val="single" w:sz="4" w:space="0" w:color="E2E8F0"/>
              <w:left w:val="none"/>
              <w:right w:val="none"/>
            </w:tcBorders>
          </w:tcPr>
          <w:p>
            <w:pPr>
              <w:spacing w:after="40"/>
              <w:jc w:val="right"/>
            </w:pPr>
            <w:r>
              <w:rPr>
                <w:rFonts w:ascii="Segoe UI" w:hAnsi="Segoe UI"/>
                <w:b/>
                <w:color w:val="0070F2"/>
                <w:sz w:val="18"/>
              </w:rPr>
              <w:t>USD $ 12,000.00</w:t>
            </w:r>
          </w:p>
        </w:tc>
      </w:tr>
      <w:tr>
        <w:tc>
          <w:tcPr>
            <w:tcW w:type="dxa" w:w="3216"/>
            <w:shd w:fill="F4F7FB"/>
            <w:tcMar>
              <w:top w:w="80" w:type="dxa"/>
              <w:bottom w:w="80" w:type="dxa"/>
              <w:left w:w="100" w:type="dxa"/>
              <w:right w:w="100" w:type="dxa"/>
            </w:tcMar>
            <w:tcBorders>
              <w:top w:val="single" w:sz="4" w:space="0" w:color="E2E8F0"/>
              <w:bottom w:val="single" w:sz="4" w:space="0" w:color="E2E8F0"/>
              <w:left w:val="none"/>
              <w:right w:val="none"/>
            </w:tcBorders>
          </w:tcPr>
          <w:p>
            <w:pPr>
              <w:spacing w:after="40"/>
            </w:pPr>
            <w:r>
              <w:rPr>
                <w:rFonts w:ascii="Segoe UI" w:hAnsi="Segoe UI"/>
                <w:b/>
                <w:color w:val="102542"/>
                <w:sz w:val="18"/>
              </w:rPr>
              <w:t>Módulo V: Facturación Electrónica y GRE</w:t>
            </w:r>
          </w:p>
        </w:tc>
        <w:tc>
          <w:tcPr>
            <w:tcW w:type="dxa" w:w="3216"/>
            <w:shd w:fill="F4F7FB"/>
            <w:tcMar>
              <w:top w:w="80" w:type="dxa"/>
              <w:bottom w:w="80" w:type="dxa"/>
              <w:left w:w="100" w:type="dxa"/>
              <w:right w:w="100" w:type="dxa"/>
            </w:tcMar>
            <w:tcBorders>
              <w:top w:val="single" w:sz="4" w:space="0" w:color="E2E8F0"/>
              <w:bottom w:val="single" w:sz="4" w:space="0" w:color="E2E8F0"/>
              <w:left w:val="none"/>
              <w:right w:val="none"/>
            </w:tcBorders>
          </w:tcPr>
          <w:p>
            <w:pPr>
              <w:spacing w:after="40"/>
            </w:pPr>
            <w:r>
              <w:rPr>
                <w:rFonts w:ascii="Segoe UI" w:hAnsi="Segoe UI"/>
                <w:color w:val="1E293B"/>
                <w:sz w:val="18"/>
              </w:rPr>
              <w:t>Monitor de impresión masiva OSE, Series por Centro IDCP y contingencias.</w:t>
            </w:r>
          </w:p>
        </w:tc>
        <w:tc>
          <w:tcPr>
            <w:tcW w:type="dxa" w:w="3216"/>
            <w:shd w:fill="F4F7FB"/>
            <w:tcMar>
              <w:top w:w="80" w:type="dxa"/>
              <w:bottom w:w="80" w:type="dxa"/>
              <w:left w:w="100" w:type="dxa"/>
              <w:right w:w="100" w:type="dxa"/>
            </w:tcMar>
            <w:tcBorders>
              <w:top w:val="single" w:sz="4" w:space="0" w:color="E2E8F0"/>
              <w:bottom w:val="single" w:sz="4" w:space="0" w:color="E2E8F0"/>
              <w:left w:val="none"/>
              <w:right w:val="none"/>
            </w:tcBorders>
          </w:tcPr>
          <w:p>
            <w:pPr>
              <w:spacing w:after="40"/>
              <w:jc w:val="right"/>
            </w:pPr>
            <w:r>
              <w:rPr>
                <w:rFonts w:ascii="Segoe UI" w:hAnsi="Segoe UI"/>
                <w:b/>
                <w:color w:val="0070F2"/>
                <w:sz w:val="18"/>
              </w:rPr>
              <w:t>USD $ 4,500.00</w:t>
            </w:r>
          </w:p>
        </w:tc>
      </w:tr>
      <w:tr>
        <w:tc>
          <w:tcPr>
            <w:tcW w:type="dxa" w:w="3216"/>
            <w:shd w:fill="FFFFFF"/>
            <w:tcMar>
              <w:top w:w="80" w:type="dxa"/>
              <w:bottom w:w="80" w:type="dxa"/>
              <w:left w:w="100" w:type="dxa"/>
              <w:right w:w="100" w:type="dxa"/>
            </w:tcMar>
            <w:tcBorders>
              <w:top w:val="single" w:sz="4" w:space="0" w:color="E2E8F0"/>
              <w:bottom w:val="single" w:sz="4" w:space="0" w:color="E2E8F0"/>
              <w:left w:val="none"/>
              <w:right w:val="none"/>
            </w:tcBorders>
          </w:tcPr>
          <w:p>
            <w:pPr>
              <w:spacing w:after="40"/>
            </w:pPr>
            <w:r>
              <w:rPr>
                <w:rFonts w:ascii="Segoe UI" w:hAnsi="Segoe UI"/>
                <w:b/>
                <w:color w:val="102542"/>
                <w:sz w:val="18"/>
              </w:rPr>
              <w:t>Módulo VI: Fiori Horizons &amp; Droid Copilot</w:t>
            </w:r>
          </w:p>
        </w:tc>
        <w:tc>
          <w:tcPr>
            <w:tcW w:type="dxa" w:w="3216"/>
            <w:shd w:fill="FFFFFF"/>
            <w:tcMar>
              <w:top w:w="80" w:type="dxa"/>
              <w:bottom w:w="80" w:type="dxa"/>
              <w:left w:w="100" w:type="dxa"/>
              <w:right w:w="100" w:type="dxa"/>
            </w:tcMar>
            <w:tcBorders>
              <w:top w:val="single" w:sz="4" w:space="0" w:color="E2E8F0"/>
              <w:bottom w:val="single" w:sz="4" w:space="0" w:color="E2E8F0"/>
              <w:left w:val="none"/>
              <w:right w:val="none"/>
            </w:tcBorders>
          </w:tcPr>
          <w:p>
            <w:pPr>
              <w:spacing w:after="40"/>
            </w:pPr>
            <w:r>
              <w:rPr>
                <w:rFonts w:ascii="Segoe UI" w:hAnsi="Segoe UI"/>
                <w:color w:val="1E293B"/>
                <w:sz w:val="18"/>
              </w:rPr>
              <w:t>Cockpit centralizado de control visual y Copiloto Tributario con Inteligencia Artificial.</w:t>
            </w:r>
          </w:p>
        </w:tc>
        <w:tc>
          <w:tcPr>
            <w:tcW w:type="dxa" w:w="3216"/>
            <w:shd w:fill="FFFFFF"/>
            <w:tcMar>
              <w:top w:w="80" w:type="dxa"/>
              <w:bottom w:w="80" w:type="dxa"/>
              <w:left w:w="100" w:type="dxa"/>
              <w:right w:w="100" w:type="dxa"/>
            </w:tcMar>
            <w:tcBorders>
              <w:top w:val="single" w:sz="4" w:space="0" w:color="E2E8F0"/>
              <w:bottom w:val="single" w:sz="4" w:space="0" w:color="E2E8F0"/>
              <w:left w:val="none"/>
              <w:right w:val="none"/>
            </w:tcBorders>
          </w:tcPr>
          <w:p>
            <w:pPr>
              <w:spacing w:after="40"/>
              <w:jc w:val="right"/>
            </w:pPr>
            <w:r>
              <w:rPr>
                <w:rFonts w:ascii="Segoe UI" w:hAnsi="Segoe UI"/>
                <w:b/>
                <w:color w:val="0070F2"/>
                <w:sz w:val="18"/>
              </w:rPr>
              <w:t>USD $ 4,000.00</w:t>
            </w:r>
          </w:p>
        </w:tc>
      </w:tr>
    </w:tbl>
    <w:p>
      <w:pPr>
        <w:spacing w:after="80"/>
      </w:pPr>
    </w:p>
    <w:tbl>
      <w:tblPr>
        <w:tblW w:type="auto" w:w="0"/>
        <w:jc w:val="center"/>
        <w:tblLook w:firstColumn="1" w:firstRow="1" w:lastColumn="0" w:lastRow="0" w:noHBand="0" w:noVBand="1" w:val="04A0"/>
      </w:tblPr>
      <w:tblGrid>
        <w:gridCol w:w="4824"/>
        <w:gridCol w:w="4824"/>
      </w:tblGrid>
      <w:tr>
        <w:tc>
          <w:tcPr>
            <w:tcW w:type="dxa" w:w="6480"/>
            <w:shd w:fill="0070F2"/>
            <w:tcMar>
              <w:top w:w="100" w:type="dxa"/>
              <w:bottom w:w="100" w:type="dxa"/>
              <w:left w:w="140" w:type="dxa"/>
              <w:right w:w="140" w:type="dxa"/>
            </w:tcMar>
          </w:tcPr>
          <w:p>
            <w:pPr>
              <w:spacing w:after="0"/>
            </w:pPr>
            <w:r>
              <w:rPr>
                <w:rFonts w:ascii="Segoe UI" w:hAnsi="Segoe UI"/>
                <w:b/>
                <w:color w:val="FFFFFF"/>
                <w:sz w:val="22"/>
              </w:rPr>
              <w:t>INVERSIÓN TOTAL PAQUETE INTEGRAL DROID:</w:t>
            </w:r>
          </w:p>
        </w:tc>
        <w:tc>
          <w:tcPr>
            <w:tcW w:type="dxa" w:w="3168"/>
            <w:shd w:fill="0070F2"/>
            <w:tcMar>
              <w:top w:w="100" w:type="dxa"/>
              <w:bottom w:w="100" w:type="dxa"/>
              <w:left w:w="140" w:type="dxa"/>
              <w:right w:w="140" w:type="dxa"/>
            </w:tcMar>
          </w:tcPr>
          <w:p>
            <w:pPr>
              <w:spacing w:after="0"/>
              <w:jc w:val="right"/>
            </w:pPr>
            <w:r>
              <w:rPr>
                <w:rFonts w:ascii="Segoe UI" w:hAnsi="Segoe UI"/>
                <w:b/>
                <w:color w:val="FFFFFF"/>
                <w:sz w:val="24"/>
              </w:rPr>
              <w:t>USD $ 38,500.00 (+ IGV)</w:t>
            </w:r>
          </w:p>
        </w:tc>
      </w:tr>
    </w:tbl>
    <w:p>
      <w:pPr>
        <w:spacing w:after="200"/>
      </w:pPr>
    </w:p>
    <w:p>
      <w:pPr>
        <w:spacing w:before="0" w:after="120" w:line="276" w:lineRule="auto"/>
      </w:pPr>
      <w:r>
        <w:rPr>
          <w:rFonts w:ascii="Segoe UI" w:hAnsi="Segoe UI"/>
          <w:b/>
          <w:color w:val="102542"/>
          <w:sz w:val="20"/>
        </w:rPr>
        <w:t xml:space="preserve">Ahorro Presupuestario Estratégico: </w:t>
      </w:r>
      <w:r>
        <w:rPr>
          <w:rFonts w:ascii="Segoe UI" w:hAnsi="Segoe UI"/>
          <w:color w:val="1E293B"/>
          <w:sz w:val="20"/>
        </w:rPr>
        <w:t>Frente a cotizaciones de mercado que alcanzan los USD $56,600.00, la propuesta de DROID representa un ahorro de inversión directa de más de USD $18,000.00 (32% de optimización presupuestaria), entregando además una tecnología muy superior con Fiori Horizons y Droid Copilot IA.</w:t>
      </w:r>
    </w:p>
    <w:p>
      <w:pPr>
        <w:pStyle w:val="Heading2"/>
        <w:keepNext/>
        <w:spacing w:before="280" w:after="80"/>
      </w:pPr>
      <w:r>
        <w:rPr>
          <w:rFonts w:ascii="Segoe UI" w:hAnsi="Segoe UI"/>
          <w:b/>
          <w:color w:val="0070F2"/>
          <w:sz w:val="26"/>
        </w:rPr>
        <w:t>Esquema de Facturación por Hitos de Éxito</w:t>
      </w:r>
    </w:p>
    <w:p>
      <w:pPr>
        <w:pStyle w:val="ListBullet"/>
        <w:spacing w:before="0" w:after="60" w:line="276" w:lineRule="auto"/>
      </w:pPr>
      <w:r>
        <w:rPr>
          <w:rFonts w:ascii="Segoe UI" w:hAnsi="Segoe UI"/>
          <w:b/>
          <w:color w:val="102542"/>
          <w:sz w:val="19"/>
        </w:rPr>
        <w:t xml:space="preserve">Hito 1 (Anticipo de Inicio): </w:t>
      </w:r>
      <w:r>
        <w:rPr>
          <w:rFonts w:ascii="Segoe UI" w:hAnsi="Segoe UI"/>
          <w:color w:val="1E293B"/>
          <w:sz w:val="19"/>
        </w:rPr>
        <w:t>30% a la firma del contrato comercial y emisión del Acta de Inicio de Proyecto.</w:t>
      </w:r>
    </w:p>
    <w:p>
      <w:pPr>
        <w:pStyle w:val="ListBullet"/>
        <w:spacing w:before="0" w:after="60" w:line="276" w:lineRule="auto"/>
      </w:pPr>
      <w:r>
        <w:rPr>
          <w:rFonts w:ascii="Segoe UI" w:hAnsi="Segoe UI"/>
          <w:b/>
          <w:color w:val="102542"/>
          <w:sz w:val="19"/>
        </w:rPr>
        <w:t xml:space="preserve">Hito 2 (Certificación UAT): </w:t>
      </w:r>
      <w:r>
        <w:rPr>
          <w:rFonts w:ascii="Segoe UI" w:hAnsi="Segoe UI"/>
          <w:color w:val="1E293B"/>
          <w:sz w:val="19"/>
        </w:rPr>
        <w:t>40% contra la aprobación formal del Acta de Pruebas Integrales de Usuario (UAT).</w:t>
      </w:r>
    </w:p>
    <w:p>
      <w:pPr>
        <w:pStyle w:val="ListBullet"/>
        <w:spacing w:before="0" w:after="60" w:line="276" w:lineRule="auto"/>
      </w:pPr>
      <w:r>
        <w:rPr>
          <w:rFonts w:ascii="Segoe UI" w:hAnsi="Segoe UI"/>
          <w:b/>
          <w:color w:val="102542"/>
          <w:sz w:val="19"/>
        </w:rPr>
        <w:t xml:space="preserve">Hito 3 (Pase a PRD y Cierre): </w:t>
      </w:r>
      <w:r>
        <w:rPr>
          <w:rFonts w:ascii="Segoe UI" w:hAnsi="Segoe UI"/>
          <w:color w:val="1E293B"/>
          <w:sz w:val="19"/>
        </w:rPr>
        <w:t>30% a la salida exitosa en producción (Go-Live) y entrega del dossier de documentación técnica y manuales.</w:t>
      </w:r>
    </w:p>
    <w:p>
      <w:pPr>
        <w:pStyle w:val="Heading2"/>
        <w:keepNext/>
        <w:spacing w:before="280" w:after="80"/>
      </w:pPr>
      <w:r>
        <w:rPr>
          <w:rFonts w:ascii="Segoe UI" w:hAnsi="Segoe UI"/>
          <w:b/>
          <w:color w:val="0070F2"/>
          <w:sz w:val="26"/>
        </w:rPr>
        <w:t>Equipo de Consultoría Senior Asignado</w:t>
      </w:r>
    </w:p>
    <w:p>
      <w:pPr>
        <w:pStyle w:val="ListBullet"/>
        <w:spacing w:before="0" w:after="60" w:line="276" w:lineRule="auto"/>
      </w:pPr>
      <w:r>
        <w:rPr>
          <w:rFonts w:ascii="Segoe UI" w:hAnsi="Segoe UI"/>
          <w:b/>
          <w:color w:val="102542"/>
          <w:sz w:val="19"/>
        </w:rPr>
        <w:t xml:space="preserve">• 01 Consultor Senior SAP FI-CO (Especialista en Localización Tributaria Perú): </w:t>
      </w:r>
      <w:r>
        <w:rPr>
          <w:rFonts w:ascii="Segoe UI" w:hAnsi="Segoe UI"/>
          <w:color w:val="1E293B"/>
          <w:sz w:val="19"/>
        </w:rPr>
        <w:t>Líder técnico en parametrización contable, PLE, SIRE, SSCO, detracciones y retenciones con más de 12 años de trayectoria en proyectos S/4HANA.</w:t>
      </w:r>
    </w:p>
    <w:p>
      <w:pPr>
        <w:pStyle w:val="ListBullet"/>
        <w:spacing w:before="0" w:after="60" w:line="276" w:lineRule="auto"/>
      </w:pPr>
      <w:r>
        <w:rPr>
          <w:rFonts w:ascii="Segoe UI" w:hAnsi="Segoe UI"/>
          <w:b/>
          <w:color w:val="102542"/>
          <w:sz w:val="19"/>
        </w:rPr>
        <w:t xml:space="preserve">• 01 Consultor Senior SAP SD-MM (Procesos Logísticos y Facturación): </w:t>
      </w:r>
      <w:r>
        <w:rPr>
          <w:rFonts w:ascii="Segoe UI" w:hAnsi="Segoe UI"/>
          <w:color w:val="1E293B"/>
          <w:sz w:val="19"/>
        </w:rPr>
        <w:t>Especialista en flujos de compras (MM/MIRO), ventas (SD), control de series IDCP, guías de remisión y facturación electrónica.</w:t>
      </w:r>
    </w:p>
    <w:p>
      <w:pPr>
        <w:pStyle w:val="ListBullet"/>
        <w:spacing w:before="0" w:after="60" w:line="276" w:lineRule="auto"/>
      </w:pPr>
      <w:r>
        <w:rPr>
          <w:rFonts w:ascii="Segoe UI" w:hAnsi="Segoe UI"/>
          <w:b/>
          <w:color w:val="102542"/>
          <w:sz w:val="19"/>
        </w:rPr>
        <w:t xml:space="preserve">• 01 Consultor Especialista SAP BTP / Cloud Integration (Host to Web Bancario): </w:t>
      </w:r>
      <w:r>
        <w:rPr>
          <w:rFonts w:ascii="Segoe UI" w:hAnsi="Segoe UI"/>
          <w:color w:val="1E293B"/>
          <w:sz w:val="19"/>
        </w:rPr>
        <w:t>Experto en integración mediante SAP CPI, canales SFTP con bancos (BBVA, Interbank, BCP, Banbif), encriptación PGP y servicios web OSE.</w:t>
      </w:r>
    </w:p>
    <w:p>
      <w:pPr>
        <w:pStyle w:val="ListBullet"/>
        <w:spacing w:before="0" w:after="60" w:line="276" w:lineRule="auto"/>
      </w:pPr>
      <w:r>
        <w:rPr>
          <w:rFonts w:ascii="Segoe UI" w:hAnsi="Segoe UI"/>
          <w:b/>
          <w:color w:val="102542"/>
          <w:sz w:val="19"/>
        </w:rPr>
        <w:t xml:space="preserve">• 01 Consultor Senior SAP Fiori / ABAP HANA: </w:t>
      </w:r>
      <w:r>
        <w:rPr>
          <w:rFonts w:ascii="Segoe UI" w:hAnsi="Segoe UI"/>
          <w:color w:val="1E293B"/>
          <w:sz w:val="19"/>
        </w:rPr>
        <w:t>Desarrollador sénior de alto desempeño en arquitectura de vistas Core Data Services (CDS Views), servicios OData y personalización Fiori Horizons.</w:t>
      </w:r>
    </w:p>
    <w:p>
      <w:pPr>
        <w:pStyle w:val="ListBullet"/>
        <w:spacing w:before="0" w:after="60" w:line="276" w:lineRule="auto"/>
      </w:pPr>
      <w:r>
        <w:rPr>
          <w:rFonts w:ascii="Segoe UI" w:hAnsi="Segoe UI"/>
          <w:b/>
          <w:color w:val="102542"/>
          <w:sz w:val="19"/>
        </w:rPr>
        <w:t xml:space="preserve">• 01 Gerente de Proyecto DROID (Project Manager Officer - PMO): </w:t>
      </w:r>
      <w:r>
        <w:rPr>
          <w:rFonts w:ascii="Segoe UI" w:hAnsi="Segoe UI"/>
          <w:color w:val="1E293B"/>
          <w:sz w:val="19"/>
        </w:rPr>
        <w:t>Certificado PMP y Agile Scrum, responsable de la gobernanza, gestión de riesgos, aseguramiento de calidad y cumplimiento estricto del cronograma.</w:t>
      </w:r>
    </w:p>
    <w:p>
      <w:pPr>
        <w:pStyle w:val="Heading1"/>
        <w:keepNext/>
        <w:spacing w:before="360" w:after="120"/>
      </w:pPr>
      <w:r>
        <w:rPr>
          <w:rFonts w:ascii="Segoe UI" w:hAnsi="Segoe UI"/>
          <w:b/>
          <w:color w:val="102542"/>
          <w:sz w:val="32"/>
        </w:rPr>
        <w:t>6. Gobernanza, Premisas y Garantía de Servicio</w:t>
      </w:r>
    </w:p>
    <w:p>
      <w:pPr>
        <w:spacing w:before="0" w:after="120" w:line="276" w:lineRule="auto"/>
      </w:pPr>
      <w:r>
        <w:rPr>
          <w:rFonts w:ascii="Segoe UI" w:hAnsi="Segoe UI"/>
          <w:b/>
          <w:color w:val="102542"/>
          <w:sz w:val="20"/>
        </w:rPr>
        <w:t xml:space="preserve">Premisas Operativas: </w:t>
      </w:r>
      <w:r>
        <w:rPr>
          <w:rFonts w:ascii="Segoe UI" w:hAnsi="Segoe UI"/>
          <w:color w:val="1E293B"/>
          <w:sz w:val="20"/>
        </w:rPr>
        <w:t>Para garantizar el cumplimiento de los plazos y la calidad de los entregables, se establecen las siguientes premisas de servicio:</w:t>
      </w:r>
    </w:p>
    <w:p>
      <w:pPr>
        <w:pStyle w:val="ListBullet"/>
        <w:spacing w:before="0" w:after="60" w:line="276" w:lineRule="auto"/>
      </w:pPr>
      <w:r>
        <w:rPr>
          <w:rFonts w:ascii="Segoe UI" w:hAnsi="Segoe UI"/>
          <w:b/>
          <w:color w:val="102542"/>
          <w:sz w:val="19"/>
        </w:rPr>
        <w:t xml:space="preserve">Accesos y Conectividad: </w:t>
      </w:r>
      <w:r>
        <w:rPr>
          <w:rFonts w:ascii="Segoe UI" w:hAnsi="Segoe UI"/>
          <w:color w:val="1E293B"/>
          <w:sz w:val="19"/>
        </w:rPr>
        <w:t>El cliente facilitará oportunamente dos (2) usuarios con acceso a los ambientes de Desarrollo (DEV) y Calidad (QAS) con roles funcionales y clave de desarrollo ABAP activa.</w:t>
      </w:r>
    </w:p>
    <w:p>
      <w:pPr>
        <w:pStyle w:val="ListBullet"/>
        <w:spacing w:before="0" w:after="60" w:line="276" w:lineRule="auto"/>
      </w:pPr>
      <w:r>
        <w:rPr>
          <w:rFonts w:ascii="Segoe UI" w:hAnsi="Segoe UI"/>
          <w:b/>
          <w:color w:val="102542"/>
          <w:sz w:val="19"/>
        </w:rPr>
        <w:t xml:space="preserve">Canales Externos (Bancos y OSE): </w:t>
      </w:r>
      <w:r>
        <w:rPr>
          <w:rFonts w:ascii="Segoe UI" w:hAnsi="Segoe UI"/>
          <w:color w:val="1E293B"/>
          <w:sz w:val="19"/>
        </w:rPr>
        <w:t>El cliente dispondrá oportunamente de las credenciales de prueba y producción brindadas por las entidades bancarias (BBVA, Interbank, BCP, Banbif) y el Operador OSE para los ensayos de transmisión.</w:t>
      </w:r>
    </w:p>
    <w:p>
      <w:pPr>
        <w:pStyle w:val="ListBullet"/>
        <w:spacing w:before="0" w:after="60" w:line="276" w:lineRule="auto"/>
      </w:pPr>
      <w:r>
        <w:rPr>
          <w:rFonts w:ascii="Segoe UI" w:hAnsi="Segoe UI"/>
          <w:b/>
          <w:color w:val="102542"/>
          <w:sz w:val="19"/>
        </w:rPr>
        <w:t xml:space="preserve">Modalidad de Servicio: </w:t>
      </w:r>
      <w:r>
        <w:rPr>
          <w:rFonts w:ascii="Segoe UI" w:hAnsi="Segoe UI"/>
          <w:color w:val="1E293B"/>
          <w:sz w:val="19"/>
        </w:rPr>
        <w:t>La consultoría se prestará bajo modalidad remota de alto rendimiento, con sesiones presenciales estratégicas en hitos clave (kick-off, talleres de diseño y salida en vivo).</w:t>
      </w:r>
    </w:p>
    <w:tbl>
      <w:tblPr>
        <w:tblW w:type="auto" w:w="0"/>
        <w:jc w:val="center"/>
        <w:tblLook w:firstColumn="1" w:firstRow="1" w:lastColumn="0" w:lastRow="0" w:noHBand="0" w:noVBand="1" w:val="04A0"/>
      </w:tblPr>
      <w:tblGrid>
        <w:gridCol w:w="9648"/>
      </w:tblGrid>
      <w:tr>
        <w:tc>
          <w:tcPr>
            <w:tcW w:type="dxa" w:w="9648"/>
            <w:shd w:fill="F4F7FB"/>
            <w:tcBorders>
              <w:top w:val="none"/>
              <w:bottom w:val="none"/>
              <w:left w:val="single" w:sz="24" w:space="0" w:color="0070F2"/>
              <w:right w:val="none"/>
            </w:tcBorders>
            <w:tcMar>
              <w:top w:w="140" w:type="dxa"/>
              <w:bottom w:w="140" w:type="dxa"/>
              <w:left w:w="200" w:type="dxa"/>
              <w:right w:w="200" w:type="dxa"/>
            </w:tcMar>
          </w:tcPr>
          <w:p>
            <w:pPr>
              <w:spacing w:before="40" w:after="80"/>
            </w:pPr>
            <w:r>
              <w:rPr>
                <w:rFonts w:ascii="Segoe UI" w:hAnsi="Segoe UI"/>
                <w:b/>
                <w:color w:val="0070F2"/>
                <w:sz w:val="21"/>
              </w:rPr>
              <w:t xml:space="preserve"> Garantía de Servicio Post-Productivo</w:t>
              <w:br/>
            </w:r>
            <w:r>
              <w:rPr>
                <w:rFonts w:ascii="Segoe UI" w:hAnsi="Segoe UI"/>
                <w:color w:val="1E293B"/>
                <w:sz w:val="19"/>
              </w:rPr>
              <w:t>DROID Consulting otorga una Garantía de Servicio de treinta (30) días calendario contados a partir de la firma del Acta de Go-Live. Dicha garantía cubre la corrección inmediata y sin costo de cualquier desviación funcional, inconsistencia en formatos de salida o vicio oculto sobre los componentes implementados, con un SLA de respuesta preferencial de 2 a 4 horas hábiles.</w:t>
            </w:r>
          </w:p>
        </w:tc>
      </w:tr>
    </w:tbl>
    <w:p>
      <w:pPr>
        <w:spacing w:after="80"/>
      </w:pPr>
    </w:p>
    <w:p>
      <w:pPr>
        <w:spacing w:after="400"/>
      </w:pPr>
    </w:p>
    <w:tbl>
      <w:tblPr>
        <w:tblW w:type="auto" w:w="0"/>
        <w:jc w:val="center"/>
        <w:tblLook w:firstColumn="1" w:firstRow="1" w:lastColumn="0" w:lastRow="0" w:noHBand="0" w:noVBand="1" w:val="04A0"/>
      </w:tblPr>
      <w:tblGrid>
        <w:gridCol w:w="4824"/>
        <w:gridCol w:w="4824"/>
      </w:tblGrid>
      <w:tr>
        <w:tc>
          <w:tcPr>
            <w:tcW w:type="dxa" w:w="4752"/>
          </w:tcPr>
          <w:p>
            <w:pPr>
              <w:spacing w:after="80"/>
            </w:pPr>
            <w:r>
              <w:rPr>
                <w:color w:val="64748B"/>
              </w:rPr>
              <w:t>_________________________________________</w:t>
              <w:br/>
            </w:r>
            <w:r>
              <w:rPr>
                <w:rFonts w:ascii="Segoe UI" w:hAnsi="Segoe UI"/>
                <w:b/>
                <w:sz w:val="19"/>
              </w:rPr>
              <w:t>DROID Consulting TI S.A.C.</w:t>
              <w:br/>
            </w:r>
            <w:r>
              <w:rPr>
                <w:rFonts w:ascii="Segoe UI" w:hAnsi="Segoe UI"/>
                <w:color w:val="64748B"/>
                <w:sz w:val="17"/>
              </w:rPr>
              <w:t>Dirección de Consultoría y Soluciones SAP</w:t>
              <w:br/>
              <w:t>comercialdc@droidconsulting.org</w:t>
            </w:r>
          </w:p>
        </w:tc>
        <w:tc>
          <w:tcPr>
            <w:tcW w:type="dxa" w:w="4752"/>
          </w:tcPr>
          <w:p>
            <w:pPr>
              <w:spacing w:after="80"/>
            </w:pPr>
            <w:r>
              <w:rPr>
                <w:color w:val="64748B"/>
              </w:rPr>
              <w:t>_________________________________________</w:t>
              <w:br/>
            </w:r>
            <w:r>
              <w:rPr>
                <w:rFonts w:ascii="Segoe UI" w:hAnsi="Segoe UI"/>
                <w:b/>
                <w:sz w:val="19"/>
              </w:rPr>
              <w:t>Aceptación del Cliente (Grupo Rokys)</w:t>
              <w:br/>
            </w:r>
            <w:r>
              <w:rPr>
                <w:rFonts w:ascii="Segoe UI" w:hAnsi="Segoe UI"/>
                <w:color w:val="64748B"/>
                <w:sz w:val="17"/>
              </w:rPr>
              <w:t>Nombre y Cargo del Representante Autorizado</w:t>
              <w:br/>
              <w:t>Fecha de Conformidad:</w:t>
            </w:r>
          </w:p>
        </w:tc>
      </w:tr>
    </w:tbl>
    <w:sectPr w:rsidR="00FC693F" w:rsidRPr="0006063C" w:rsidSect="00034616">
      <w:headerReference w:type="default" r:id="rId9"/>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t>Confidencial - Elaborado para Grupo Rokys  |  www.droidconsultingti.com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DROID CONSULTING TI  |  Propuesta Técnico-Comercial: Localización Perú SAP S/4HANA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Segoe UI" w:hAnsi="Segoe UI"/>
      <w:color w:val="64748B"/>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Segoe UI" w:hAnsi="Segoe UI"/>
      <w:color w:val="64748B"/>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