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48"/>
          <w:szCs w:val="48"/>
        </w:rPr>
        <w:t xml:space="preserve">THESIS B</w:t>
      </w:r>
    </w:p>
    <w:p>
      <w:pPr>
        <w:spacing w:after="100"/>
        <w:jc w:val="center"/>
      </w:pPr>
      <w:r>
        <w:rPr>
          <w:rFonts w:ascii="Arial" w:cs="Arial" w:eastAsia="Arial" w:hAnsi="Arial"/>
          <w:color w:val="2E5090"/>
          <w:sz w:val="36"/>
          <w:szCs w:val="36"/>
        </w:rPr>
        <w:t xml:space="preserve">Tidal Triggering of Great Earthquakes</w:t>
      </w:r>
    </w:p>
    <w:p>
      <w:pPr>
        <w:spacing w:after="80"/>
        <w:jc w:val="center"/>
      </w:pPr>
      <w:r>
        <w:rPr>
          <w:rFonts w:ascii="Arial" w:cs="Arial" w:eastAsia="Arial" w:hAnsi="Arial"/>
          <w:i/>
          <w:iCs/>
          <w:color w:val="3A6EA5"/>
          <w:sz w:val="28"/>
          <w:szCs w:val="28"/>
        </w:rPr>
        <w:t xml:space="preserve">The Syzygy Question</w:t>
      </w:r>
    </w:p>
    <w:p>
      <w:pPr>
        <w:spacing w:after="200" w:before="600"/>
        <w:jc w:val="center"/>
      </w:pPr>
      <w:r>
        <w:rPr>
          <w:rFonts w:ascii="Arial" w:cs="Arial" w:eastAsia="Arial" w:hAnsi="Arial"/>
          <w:color w:val="666666"/>
          <w:sz w:val="22"/>
          <w:szCs w:val="22"/>
        </w:rPr>
        <w:t xml:space="preserve">Multi-Disciplinary Expert Panel Research Design</w:t>
      </w:r>
    </w:p>
    <w:p>
      <w:pPr>
        <w:spacing w:after="100"/>
        <w:jc w:val="center"/>
      </w:pPr>
      <w:r>
        <w:rPr>
          <w:rFonts w:ascii="Arial" w:cs="Arial" w:eastAsia="Arial" w:hAnsi="Arial"/>
          <w:color w:val="888888"/>
          <w:sz w:val="20"/>
          <w:szCs w:val="20"/>
        </w:rPr>
        <w:t xml:space="preserve">Earth Systems Observatory  |  April 2026</w:t>
      </w:r>
    </w:p>
    <w:p>
      <w:pPr>
        <w:spacing w:after="100"/>
        <w:jc w:val="center"/>
      </w:pPr>
      <w:r>
        <w:rPr>
          <w:rFonts w:ascii="Arial" w:cs="Arial" w:eastAsia="Arial" w:hAnsi="Arial"/>
          <w:color w:val="888888"/>
          <w:sz w:val="18"/>
          <w:szCs w:val="18"/>
        </w:rPr>
        <w:t xml:space="preserve">Status: Pre-Registration Draft  |  Classification: Confirmatory + Exploratory</w:t>
      </w:r>
    </w:p>
    <w:p>
      <w:r>
        <w:br w:type="page"/>
      </w:r>
    </w:p>
    <w:p>
      <w:pPr>
        <w:pStyle w:val="Heading1"/>
        <w:spacing w:after="200" w:line="276"/>
      </w:pPr>
      <w:r>
        <w:rPr>
          <w:rFonts w:ascii="Arial" w:cs="Arial" w:eastAsia="Arial" w:hAnsi="Arial"/>
          <w:sz w:val="22"/>
          <w:szCs w:val="22"/>
        </w:rPr>
        <w:t xml:space="preserve">1. Abstract</w:t>
      </w:r>
    </w:p>
    <w:p>
      <w:pPr>
        <w:spacing w:after="200" w:line="276"/>
      </w:pPr>
      <w:r>
        <w:rPr>
          <w:rFonts w:ascii="Arial" w:cs="Arial" w:eastAsia="Arial" w:hAnsi="Arial"/>
          <w:sz w:val="22"/>
          <w:szCs w:val="22"/>
        </w:rPr>
        <w:t xml:space="preserve">This document presents the research design for Thesis B of the Earth Systems Observatory: an investigation into whether the fortnightly tidal cycle (lunar syzygy) modulates the probability of great earthquakes (M7.5+). The hypothesis is motivated by Ide, Yabe &amp; Tanaka (2016, Nature Geoscience), who reported that the largest earthquakes preferentially nucleate during periods of high tidal stress, with the effect strengthening at higher magnitudes. This finding remains contested: the tidal stress magnitude (~1-5 kPa) is three orders of magnitude smaller than typical earthquake stress drops (~1-10 MPa), and the original statistical methodology has been criticized for insufficient multiple-testing correction and possible post-hoc threshold selection.</w:t>
      </w:r>
    </w:p>
    <w:p>
      <w:pPr>
        <w:spacing w:after="200" w:line="276"/>
      </w:pPr>
      <w:r>
        <w:rPr>
          <w:rFonts w:ascii="Arial" w:cs="Arial" w:eastAsia="Arial" w:hAnsi="Arial"/>
          <w:sz w:val="22"/>
          <w:szCs w:val="22"/>
        </w:rPr>
        <w:t xml:space="preserve">Our design addresses these criticisms through five innovations: (1) pre-registered primary test with a single magnitude threshold and window size, eliminating post-hoc selection; (2) rigorous aftershock declustering using Gardner-Knopoff with manual verification of all M8+ sequences; (3) a dose-response model testing magnitude-dependence as a continuous parameter rather than discrete bins; (4) Bayesian evidence quantification alongside frequentist tests; and (5) a prospective validation phase tracking future M7.5+ events against pre-registered predictions. The study leverages 50+ years of the ISC-GEM earthquake catalog and deterministic lunar ephemeris data computed via the Skyfield library.</w:t>
      </w:r>
    </w:p>
    <w:p>
      <w:pPr>
        <w:spacing w:after="200" w:line="276"/>
      </w:pPr>
      <w:r>
        <w:rPr>
          <w:rFonts w:ascii="Arial" w:cs="Arial" w:eastAsia="Arial" w:hAnsi="Arial"/>
          <w:sz w:val="22"/>
          <w:szCs w:val="22"/>
        </w:rPr>
        <w:t xml:space="preserve">This design was developed through a multi-disciplinary expert panel synthesis integrating perspectives from observational seismology, celestial mechanics, statistical methodology, fault physics, and adversarial critique (devil's advocate).</w:t>
      </w:r>
    </w:p>
    <w:p>
      <w:r>
        <w:br w:type="page"/>
      </w:r>
    </w:p>
    <w:p>
      <w:pPr>
        <w:pStyle w:val="Heading1"/>
        <w:spacing w:after="200" w:line="276"/>
      </w:pPr>
      <w:r>
        <w:rPr>
          <w:rFonts w:ascii="Arial" w:cs="Arial" w:eastAsia="Arial" w:hAnsi="Arial"/>
          <w:sz w:val="22"/>
          <w:szCs w:val="22"/>
        </w:rPr>
        <w:t xml:space="preserve">2. The Unsolved Mystery</w:t>
      </w:r>
    </w:p>
    <w:p>
      <w:pPr>
        <w:spacing w:after="200" w:line="276"/>
      </w:pPr>
      <w:r>
        <w:rPr>
          <w:rFonts w:ascii="Arial" w:cs="Arial" w:eastAsia="Arial" w:hAnsi="Arial"/>
          <w:sz w:val="22"/>
          <w:szCs w:val="22"/>
        </w:rPr>
        <w:t xml:space="preserve">Do tidal forces from the Moon and Sun modulate the timing of great earthquakes? This question has persisted for over a century. The gravitational pull of the Moon raises solid-Earth body tides of approximately 30 cm amplitude twice daily, with the fortnightly spring-neap cycle producing peak deformation at syzygy (new and full moon) and minimum deformation at quadrature (first and third quarter). The resulting tidal stress on crustal faults is small (1-5 kPa) but real and precisely calculable.</w:t>
      </w:r>
    </w:p>
    <w:p>
      <w:pPr>
        <w:pStyle w:val="Heading2"/>
        <w:spacing w:after="200" w:line="276"/>
      </w:pPr>
      <w:r>
        <w:rPr>
          <w:rFonts w:ascii="Arial" w:cs="Arial" w:eastAsia="Arial" w:hAnsi="Arial"/>
          <w:sz w:val="22"/>
          <w:szCs w:val="22"/>
        </w:rPr>
        <w:t xml:space="preserve">2.1 The Physics Paradox</w:t>
      </w:r>
    </w:p>
    <w:p>
      <w:pPr>
        <w:spacing w:after="200" w:line="276"/>
      </w:pPr>
      <w:r>
        <w:rPr>
          <w:rFonts w:ascii="Arial" w:cs="Arial" w:eastAsia="Arial" w:hAnsi="Arial"/>
          <w:sz w:val="22"/>
          <w:szCs w:val="22"/>
        </w:rPr>
        <w:t xml:space="preserve">The fundamental challenge is a scale mismatch. Tidal stress operates at 1-5 kPa, while earthquake stress drops are 1-10 MPa, a factor of 1,000 to 10,000. This has led many seismologists to dismiss tidal triggering as implausible. However, this comparison is misleading. The relevant comparison is not tidal stress versus total stress drop, but tidal stress versus the annual tectonic loading rate. At subduction zones, tectonic stress accumulates at roughly 5-25 kPa per year. A single fortnightly tidal cycle delivers a stress perturbation equivalent to 4-100% of the annual tectonic increment. For a fault already loaded to 99% of its failure threshold, a 1-5 kPa tidal nudge could be the difference between rupture today and rupture next month.</w:t>
      </w:r>
    </w:p>
    <w:p>
      <w:pPr>
        <w:spacing w:after="200" w:line="276"/>
      </w:pPr>
      <w:r>
        <w:rPr>
          <w:rFonts w:ascii="Arial" w:cs="Arial" w:eastAsia="Arial" w:hAnsi="Arial"/>
          <w:sz w:val="22"/>
          <w:szCs w:val="22"/>
        </w:rPr>
        <w:t xml:space="preserve">The "last straw" mechanism is supported by rate-and-state friction theory (Dieterich, 1994). The seismicity rate response to a periodic stress perturbation is: r(t) / r0 = exp[delta_tau / (A * sigma_n)], where A is the direct-effect friction parameter (~0.005-0.02), sigma_n is effective normal stress, and delta_tau is the tidal shear stress perturbation. For shallow subduction zones (depth ~10-15 km, sigma_n ~200 MPa, A ~0.01), a 5 kPa tidal stress produces a rate modulation of approximately 0.25%, which is small. However, for faults with elevated pore pressure near the plate interface (reducing effective sigma_n to 20-50 MPa), the modulation increases to 2.5-5%, becoming marginally detectable over large catalogs.</w:t>
      </w:r>
    </w:p>
    <w:p>
      <w:pPr>
        <w:pStyle w:val="Heading2"/>
        <w:spacing w:after="200" w:line="276"/>
      </w:pPr>
      <w:r>
        <w:rPr>
          <w:rFonts w:ascii="Arial" w:cs="Arial" w:eastAsia="Arial" w:hAnsi="Arial"/>
          <w:sz w:val="22"/>
          <w:szCs w:val="22"/>
        </w:rPr>
        <w:t xml:space="preserve">2.2 The Ide et al. (2016) Claim</w:t>
      </w:r>
    </w:p>
    <w:p>
      <w:pPr>
        <w:spacing w:after="200" w:line="276"/>
      </w:pPr>
      <w:r>
        <w:rPr>
          <w:rFonts w:ascii="Arial" w:cs="Arial" w:eastAsia="Arial" w:hAnsi="Arial"/>
          <w:sz w:val="22"/>
          <w:szCs w:val="22"/>
        </w:rPr>
        <w:t xml:space="preserve">Ide, Yabe, and Tanaka published in Nature Geoscience that M8.2+ earthquakes show statistically significant clustering near periods of high tidal stress. Their key finding was a magnitude-dependent effect: negligible at M6-7, marginal at M7-8, and strong at M8.2+. They interpreted this as evidence that tidal stress promotes the growth of small ruptures into great earthquakes, rather than merely modulating nucleation rate. This interpretation is physically provocative: standard rate-and-state friction predicts that tidal stress should modulate all magnitudes equally (it affects nucleation, not rupture size). The magnitude-dependence, if real, implies a more complex mechanism, possibly involving tidal modulation of slow slip that cascades into dynamic rupture.</w:t>
      </w:r>
    </w:p>
    <w:p>
      <w:pPr>
        <w:pStyle w:val="Heading2"/>
        <w:spacing w:after="200" w:line="276"/>
      </w:pPr>
      <w:r>
        <w:rPr>
          <w:rFonts w:ascii="Arial" w:cs="Arial" w:eastAsia="Arial" w:hAnsi="Arial"/>
          <w:sz w:val="22"/>
          <w:szCs w:val="22"/>
        </w:rPr>
        <w:t xml:space="preserve">2.3 The Controversy</w:t>
      </w:r>
    </w:p>
    <w:p>
      <w:pPr>
        <w:spacing w:after="200" w:line="276"/>
      </w:pPr>
      <w:r>
        <w:rPr>
          <w:rFonts w:ascii="Arial" w:cs="Arial" w:eastAsia="Arial" w:hAnsi="Arial"/>
          <w:sz w:val="22"/>
          <w:szCs w:val="22"/>
        </w:rPr>
        <w:t xml:space="preserve">The Ide et al. result has been met with skepticism. The primary criticisms, identified by our devil's advocate analysis, are: (1) Multiple testing without adequate correction: Ide et al. tested multiple magnitude thresholds and window sizes, reporting the strongest result without full Bonferroni correction. Their headline p-value of ~0.07 for M7.0+ is non-significant at conventional alpha = 0.05, and after correcting for ~10 implicit comparisons, the M8.2+ result weakens substantially. (2) Small-N vulnerability: With only ~15 M8.5+ events in their catalog window, random clustering is expected. Any partition of 15 events into 4 lunar phases will show imbalances. (3) Publication bias: The file-drawer problem is acute in tidal triggering research. Negative results are rarely published, inflating the apparent base rate of positive findings. (4) Aftershock contamination: If declustering was incomplete, a single great earthquake near syzygy could drag its aftershock sequence into the count.</w:t>
      </w:r>
    </w:p>
    <w:p>
      <w:r>
        <w:br w:type="page"/>
      </w:r>
    </w:p>
    <w:p>
      <w:pPr>
        <w:pStyle w:val="Heading1"/>
        <w:spacing w:after="200" w:line="276"/>
      </w:pPr>
      <w:r>
        <w:rPr>
          <w:rFonts w:ascii="Arial" w:cs="Arial" w:eastAsia="Arial" w:hAnsi="Arial"/>
          <w:sz w:val="22"/>
          <w:szCs w:val="22"/>
        </w:rPr>
        <w:t xml:space="preserve">3. Formal Hypothesis Statement</w:t>
      </w:r>
    </w:p>
    <w:p>
      <w:pPr>
        <w:pStyle w:val="Heading2"/>
        <w:spacing w:after="200" w:line="276"/>
      </w:pPr>
      <w:r>
        <w:rPr>
          <w:rFonts w:ascii="Arial" w:cs="Arial" w:eastAsia="Arial" w:hAnsi="Arial"/>
          <w:sz w:val="22"/>
          <w:szCs w:val="22"/>
        </w:rPr>
        <w:t xml:space="preserve">3.1 Primary Hypothesis (Confirmatory)</w:t>
      </w:r>
    </w:p>
    <w:p>
      <w:pPr>
        <w:spacing w:after="200" w:line="276"/>
      </w:pPr>
      <w:r>
        <w:rPr>
          <w:rFonts w:ascii="Arial" w:cs="Arial" w:eastAsia="Arial" w:hAnsi="Arial"/>
          <w:b/>
          <w:bCs/>
          <w:sz w:val="22"/>
          <w:szCs w:val="22"/>
        </w:rPr>
        <w:t xml:space="preserve">H1: </w:t>
      </w:r>
      <w:r>
        <w:rPr>
          <w:rFonts w:ascii="Arial" w:cs="Arial" w:eastAsia="Arial" w:hAnsi="Arial"/>
          <w:sz w:val="22"/>
          <w:szCs w:val="22"/>
        </w:rPr>
        <w:t xml:space="preserve">M7.5+ earthquakes on subduction zone megathrusts occur at a statistically higher rate during high tidal stress windows (syzygy +/-3 days, comprising ~21% of calendar time) compared to the null expectation of uniform temporal distribution.</w:t>
      </w:r>
    </w:p>
    <w:p>
      <w:pPr>
        <w:spacing w:after="200" w:line="276"/>
      </w:pPr>
      <w:r>
        <w:rPr>
          <w:rFonts w:ascii="Arial" w:cs="Arial" w:eastAsia="Arial" w:hAnsi="Arial"/>
          <w:b/>
          <w:bCs/>
          <w:sz w:val="22"/>
          <w:szCs w:val="22"/>
        </w:rPr>
        <w:t xml:space="preserve">H0 (Null): </w:t>
      </w:r>
      <w:r>
        <w:rPr>
          <w:rFonts w:ascii="Arial" w:cs="Arial" w:eastAsia="Arial" w:hAnsi="Arial"/>
          <w:sz w:val="22"/>
          <w:szCs w:val="22"/>
        </w:rPr>
        <w:t xml:space="preserve">M7.5+ subduction earthquakes are temporally independent of the fortnightly tidal cycle. Their occurrence during syzygy windows is consistent with random sampling from a uniform distribution (expected proportion = 6/29.53 = 0.203).</w:t>
      </w:r>
    </w:p>
    <w:p>
      <w:pPr>
        <w:pStyle w:val="Heading2"/>
        <w:spacing w:after="200" w:line="276"/>
      </w:pPr>
      <w:r>
        <w:rPr>
          <w:rFonts w:ascii="Arial" w:cs="Arial" w:eastAsia="Arial" w:hAnsi="Arial"/>
          <w:sz w:val="22"/>
          <w:szCs w:val="22"/>
        </w:rPr>
        <w:t xml:space="preserve">3.2 Secondary Hypotheses (Exploratory)</w:t>
      </w:r>
    </w:p>
    <w:p>
      <w:pPr>
        <w:spacing w:after="200" w:line="276"/>
      </w:pPr>
      <w:r>
        <w:rPr>
          <w:rFonts w:ascii="Arial" w:cs="Arial" w:eastAsia="Arial" w:hAnsi="Arial"/>
          <w:b/>
          <w:bCs/>
          <w:sz w:val="22"/>
          <w:szCs w:val="22"/>
        </w:rPr>
        <w:t xml:space="preserve">H2 (Magnitude-dependence): </w:t>
      </w:r>
      <w:r>
        <w:rPr>
          <w:rFonts w:ascii="Arial" w:cs="Arial" w:eastAsia="Arial" w:hAnsi="Arial"/>
          <w:sz w:val="22"/>
          <w:szCs w:val="22"/>
        </w:rPr>
        <w:t xml:space="preserve">The tidal triggering effect strengthens with increasing earthquake magnitude, detectable as a statistically significant interaction term in a logistic regression of tidal phase on earthquake occurrence with magnitude as a continuous covariate.</w:t>
      </w:r>
    </w:p>
    <w:p>
      <w:pPr>
        <w:spacing w:after="200" w:line="276"/>
      </w:pPr>
      <w:r>
        <w:rPr>
          <w:rFonts w:ascii="Arial" w:cs="Arial" w:eastAsia="Arial" w:hAnsi="Arial"/>
          <w:b/>
          <w:bCs/>
          <w:sz w:val="22"/>
          <w:szCs w:val="22"/>
        </w:rPr>
        <w:t xml:space="preserve">H3 (Fault-type specificity): </w:t>
      </w:r>
      <w:r>
        <w:rPr>
          <w:rFonts w:ascii="Arial" w:cs="Arial" w:eastAsia="Arial" w:hAnsi="Arial"/>
          <w:sz w:val="22"/>
          <w:szCs w:val="22"/>
        </w:rPr>
        <w:t xml:space="preserve">The tidal triggering effect is strongest for shallow-dipping thrust faults (dip &lt; 25 degrees) at subduction zones and absent or negligible for steep strike-slip faults, consistent with the tidal stress tensor's preferential loading of low-angle fault planes.</w:t>
      </w:r>
    </w:p>
    <w:p>
      <w:pPr>
        <w:spacing w:after="200" w:line="276"/>
      </w:pPr>
      <w:r>
        <w:rPr>
          <w:rFonts w:ascii="Arial" w:cs="Arial" w:eastAsia="Arial" w:hAnsi="Arial"/>
          <w:b/>
          <w:bCs/>
          <w:sz w:val="22"/>
          <w:szCs w:val="22"/>
        </w:rPr>
        <w:t xml:space="preserve">H4 (Slow-slip pathway): </w:t>
      </w:r>
      <w:r>
        <w:rPr>
          <w:rFonts w:ascii="Arial" w:cs="Arial" w:eastAsia="Arial" w:hAnsi="Arial"/>
          <w:sz w:val="22"/>
          <w:szCs w:val="22"/>
        </w:rPr>
        <w:t xml:space="preserve">Regions with documented episodic tremor and slow slip (ETS) show stronger tidal-earthquake coupling than non-ETS subduction zones, suggesting slow slip as a mediating mechanism.</w:t>
      </w:r>
    </w:p>
    <w:p>
      <w:r>
        <w:br w:type="page"/>
      </w:r>
    </w:p>
    <w:p>
      <w:pPr>
        <w:pStyle w:val="Heading1"/>
        <w:spacing w:after="200" w:line="276"/>
      </w:pPr>
      <w:r>
        <w:rPr>
          <w:rFonts w:ascii="Arial" w:cs="Arial" w:eastAsia="Arial" w:hAnsi="Arial"/>
          <w:sz w:val="22"/>
          <w:szCs w:val="22"/>
        </w:rPr>
        <w:t xml:space="preserve">4. Datasets and Data Sources</w:t>
      </w:r>
    </w:p>
    <w:p>
      <w:pPr>
        <w:pStyle w:val="Heading2"/>
        <w:spacing w:after="200" w:line="276"/>
      </w:pPr>
      <w:r>
        <w:rPr>
          <w:rFonts w:ascii="Arial" w:cs="Arial" w:eastAsia="Arial" w:hAnsi="Arial"/>
          <w:sz w:val="22"/>
          <w:szCs w:val="22"/>
        </w:rPr>
        <w:t xml:space="preserve">4.1 Earthquake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Primary catalog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ISC-GEM Global Instrumental Catalogue v9.1 (1904-present)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Secondary catalog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USGS FDSNWS (1960-present, for modern era sensitivity test)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Magnitude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Mw (moment magnitude) only. ISC-GEM provides uniform Mw via teleseismic waveform inversion, avoiding mb saturation above M6.5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Magnitude threshold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M7.5+. Secondary: M8.0+, M7.0+ (exploratory)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Time range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1904-2026 (122 years). Pre-1964 treated separately due to sparse network coverage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Geographic scope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subduction zones only (SUBDUCTION_ZONES lookup table, 20 named zones). Secondary: global (all tectonic settings)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Focal mechanisms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 CMT catalog for events post-1976. Filter: rake 45-135 degrees (predominantly thrust). Pre-1976: classify by location using SUBDUCTION_ZONES table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Expected 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M7.5+: ~200-250 events (1904-2026). M8.0+: ~50-60 events. M8.5+: ~15-18 events</w:t>
            </w:r>
          </w:p>
        </w:tc>
      </w:tr>
    </w:tbl>
    <w:p>
      <w:pPr>
        <w:spacing w:after="200" w:line="276"/>
      </w:pPr>
      <w:r>
        <w:rPr>
          <w:rFonts w:ascii="Arial" w:cs="Arial" w:eastAsia="Arial" w:hAnsi="Arial"/>
          <w:sz w:val="22"/>
          <w:szCs w:val="22"/>
        </w:rPr>
        <w:t xml:space="preserve"/>
      </w:r>
    </w:p>
    <w:p>
      <w:pPr>
        <w:pStyle w:val="Heading2"/>
        <w:spacing w:after="200" w:line="276"/>
      </w:pPr>
      <w:r>
        <w:rPr>
          <w:rFonts w:ascii="Arial" w:cs="Arial" w:eastAsia="Arial" w:hAnsi="Arial"/>
          <w:sz w:val="22"/>
          <w:szCs w:val="22"/>
        </w:rPr>
        <w:t xml:space="preserve">4.2 Tidal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Ephemeris source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Skyfield library (Python) using JPL DE440 ephemeris. Precision: +/-0.001 degrees, &lt;1 second computation for 100-year catalog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Tidal metric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Lunar phase angle (0 degrees = new moon, 180 degrees = full moon). Phase 2: Tidal stress resolved onto mean subduction zone geometry (dip 15 degrees thrust)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Syzygy definition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Astronomical new or full moon +/-3 days (6 days per lunation = 20.3% of time). No distinction between new and full moon syzygies (both produce tidal maxima)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Quadrature definition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or third quarter moon +/-3 days (control group, 20.3% of time)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Precision needed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hour for syzygy timing (Skyfield provides +/-1 minute). Earthquake timing uncertainty (~0.1-1 sec) is negligible at daily phase resolution</w:t>
            </w:r>
          </w:p>
        </w:tc>
      </w:tr>
    </w:tbl>
    <w:p>
      <w:r>
        <w:br w:type="page"/>
      </w:r>
    </w:p>
    <w:p>
      <w:pPr>
        <w:pStyle w:val="Heading1"/>
        <w:spacing w:after="200" w:line="276"/>
      </w:pPr>
      <w:r>
        <w:rPr>
          <w:rFonts w:ascii="Arial" w:cs="Arial" w:eastAsia="Arial" w:hAnsi="Arial"/>
          <w:sz w:val="22"/>
          <w:szCs w:val="22"/>
        </w:rPr>
        <w:t xml:space="preserve">5. Methodology</w:t>
      </w:r>
    </w:p>
    <w:p>
      <w:pPr>
        <w:pStyle w:val="Heading2"/>
        <w:spacing w:after="200" w:line="276"/>
      </w:pPr>
      <w:r>
        <w:rPr>
          <w:rFonts w:ascii="Arial" w:cs="Arial" w:eastAsia="Arial" w:hAnsi="Arial"/>
          <w:sz w:val="22"/>
          <w:szCs w:val="22"/>
        </w:rPr>
        <w:t xml:space="preserve">5.1 Aftershock Declustering</w:t>
      </w:r>
    </w:p>
    <w:p>
      <w:pPr>
        <w:spacing w:after="200" w:line="276"/>
      </w:pPr>
      <w:r>
        <w:rPr>
          <w:rFonts w:ascii="Arial" w:cs="Arial" w:eastAsia="Arial" w:hAnsi="Arial"/>
          <w:sz w:val="22"/>
          <w:szCs w:val="22"/>
        </w:rPr>
        <w:t xml:space="preserve">Aftershock contamination is the single most dangerous methodological trap identified by our expert panel. A single M9.0 mainshock during syzygy could drag 3-5 M7+ aftershocks into the count, creating a spurious tidal signal from one event.</w:t>
      </w:r>
    </w:p>
    <w:p>
      <w:pPr>
        <w:spacing w:after="200" w:line="276"/>
      </w:pPr>
      <w:r>
        <w:rPr>
          <w:rFonts w:ascii="Arial" w:cs="Arial" w:eastAsia="Arial" w:hAnsi="Arial"/>
          <w:sz w:val="22"/>
          <w:szCs w:val="22"/>
        </w:rPr>
        <w:t xml:space="preserve">We apply a three-layer declustering protocol:</w:t>
      </w:r>
    </w:p>
    <w:p>
      <w:pPr>
        <w:spacing w:after="200" w:line="276"/>
      </w:pPr>
      <w:r>
        <w:rPr>
          <w:rFonts w:ascii="Arial" w:cs="Arial" w:eastAsia="Arial" w:hAnsi="Arial"/>
          <w:b/>
          <w:bCs/>
          <w:sz w:val="22"/>
          <w:szCs w:val="22"/>
        </w:rPr>
        <w:t xml:space="preserve">Layer 1: Gardner-Knopoff algorithm. </w:t>
      </w:r>
      <w:r>
        <w:rPr>
          <w:rFonts w:ascii="Arial" w:cs="Arial" w:eastAsia="Arial" w:hAnsi="Arial"/>
          <w:sz w:val="22"/>
          <w:szCs w:val="22"/>
        </w:rPr>
        <w:t xml:space="preserve">Magnitude-dependent spatial and temporal windows. For M8.0: radius ~300-600 km, duration ~2-5 years. For M7.5: radius ~150-300 km, duration ~1-2 years. Retain mainshocks only.</w:t>
      </w:r>
    </w:p>
    <w:p>
      <w:pPr>
        <w:spacing w:after="200" w:line="276"/>
      </w:pPr>
      <w:r>
        <w:rPr>
          <w:rFonts w:ascii="Arial" w:cs="Arial" w:eastAsia="Arial" w:hAnsi="Arial"/>
          <w:b/>
          <w:bCs/>
          <w:sz w:val="22"/>
          <w:szCs w:val="22"/>
        </w:rPr>
        <w:t xml:space="preserve">Layer 2: Manual verification. </w:t>
      </w:r>
      <w:r>
        <w:rPr>
          <w:rFonts w:ascii="Arial" w:cs="Arial" w:eastAsia="Arial" w:hAnsi="Arial"/>
          <w:sz w:val="22"/>
          <w:szCs w:val="22"/>
        </w:rPr>
        <w:t xml:space="preserve">All M8.0+ mainshock sequences cross-checked against USGS aftershock bulletins. Named sequences (e.g., 2004 Sumatra, 2011 Tohoku) verified individually. Conservative rule: if uncertain whether an event is a mainshock or aftershock, exclude it.</w:t>
      </w:r>
    </w:p>
    <w:p>
      <w:pPr>
        <w:spacing w:after="200" w:line="276"/>
      </w:pPr>
      <w:r>
        <w:rPr>
          <w:rFonts w:ascii="Arial" w:cs="Arial" w:eastAsia="Arial" w:hAnsi="Arial"/>
          <w:b/>
          <w:bCs/>
          <w:sz w:val="22"/>
          <w:szCs w:val="22"/>
        </w:rPr>
        <w:t xml:space="preserve">Layer 3: Sensitivity reporting. </w:t>
      </w:r>
      <w:r>
        <w:rPr>
          <w:rFonts w:ascii="Arial" w:cs="Arial" w:eastAsia="Arial" w:hAnsi="Arial"/>
          <w:sz w:val="22"/>
          <w:szCs w:val="22"/>
        </w:rPr>
        <w:t xml:space="preserve">Results reported with three declustering settings: (a) Gardner-Knopoff standard, (b) extended windows (1.5x Gardner-Knopoff radii and durations), (c) manual-only for M8+ sequences. Signal must survive all three.</w:t>
      </w:r>
    </w:p>
    <w:p>
      <w:pPr>
        <w:pStyle w:val="Heading2"/>
        <w:spacing w:after="200" w:line="276"/>
      </w:pPr>
      <w:r>
        <w:rPr>
          <w:rFonts w:ascii="Arial" w:cs="Arial" w:eastAsia="Arial" w:hAnsi="Arial"/>
          <w:sz w:val="22"/>
          <w:szCs w:val="22"/>
        </w:rPr>
        <w:t xml:space="preserve">5.2 Statistical Framework</w:t>
      </w:r>
    </w:p>
    <w:p>
      <w:pPr>
        <w:pStyle w:val="Heading3"/>
        <w:spacing w:after="200" w:line="276"/>
      </w:pPr>
      <w:r>
        <w:rPr>
          <w:rFonts w:ascii="Arial" w:cs="Arial" w:eastAsia="Arial" w:hAnsi="Arial"/>
          <w:sz w:val="22"/>
          <w:szCs w:val="22"/>
        </w:rPr>
        <w:t xml:space="preserve">5.2.1 Pre-Registered Primary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Test type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Exact binomial test, one-sided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Magnitude threshold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M7.5+ (pre-registered, not adjustable post-hoc)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Window</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days from syzygy (pre-registered, not adjustable)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Null expectation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 = 6/29.53 = 0.203 (proportion of time in syzygy window)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Alternative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 &gt; 0.203 (earthquakes cluster toward syzygy)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Significance level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alpha = 0.01 (stricter than standard 0.05, justified by high file-drawer risk in this literature)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Effect size reporting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 ratio (RR) = observed proportion / 0.203, with exact 95% CI from Clopper-Pearson method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Decision rule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Reject H0 if p &lt; 0.01. Report as 'supported.' Otherwise: 'not supported at alpha = 0.01.'</w:t>
            </w:r>
          </w:p>
        </w:tc>
      </w:tr>
    </w:tbl>
    <w:p>
      <w:pPr>
        <w:spacing w:after="200" w:line="276"/>
      </w:pPr>
      <w:r>
        <w:rPr>
          <w:rFonts w:ascii="Arial" w:cs="Arial" w:eastAsia="Arial" w:hAnsi="Arial"/>
          <w:sz w:val="22"/>
          <w:szCs w:val="22"/>
        </w:rPr>
        <w:t xml:space="preserve"/>
      </w:r>
    </w:p>
    <w:p>
      <w:pPr>
        <w:pStyle w:val="Heading3"/>
        <w:spacing w:after="200" w:line="276"/>
      </w:pPr>
      <w:r>
        <w:rPr>
          <w:rFonts w:ascii="Arial" w:cs="Arial" w:eastAsia="Arial" w:hAnsi="Arial"/>
          <w:sz w:val="22"/>
          <w:szCs w:val="22"/>
        </w:rPr>
        <w:t xml:space="preserve">5.2.2 Dose-Response Model (Addressing Multiple Testing)</w:t>
      </w:r>
    </w:p>
    <w:p>
      <w:pPr>
        <w:spacing w:after="200" w:line="276"/>
      </w:pPr>
      <w:r>
        <w:rPr>
          <w:rFonts w:ascii="Arial" w:cs="Arial" w:eastAsia="Arial" w:hAnsi="Arial"/>
          <w:sz w:val="22"/>
          <w:szCs w:val="22"/>
        </w:rPr>
        <w:t xml:space="preserve">Rather than testing 5 magnitude thresholds separately (which requires Bonferroni correction for 5 tests), we fit a single unified model that estimates magnitude-dependence as a continuous parameter:</w:t>
      </w:r>
    </w:p>
    <w:p>
      <w:pPr>
        <w:spacing w:after="200" w:line="276"/>
      </w:pPr>
      <w:r>
        <w:rPr>
          <w:rFonts w:ascii="Arial" w:cs="Arial" w:eastAsia="Arial" w:hAnsi="Arial"/>
          <w:i/>
          <w:iCs/>
          <w:sz w:val="22"/>
          <w:szCs w:val="22"/>
        </w:rPr>
        <w:t xml:space="preserve">log(event rate) = beta_0 + beta_1 * M + beta_2 * M * tidal_phase + beta_3 * epoch</w:t>
      </w:r>
    </w:p>
    <w:p>
      <w:pPr>
        <w:spacing w:after="200" w:line="276"/>
      </w:pPr>
      <w:r>
        <w:rPr>
          <w:rFonts w:ascii="Arial" w:cs="Arial" w:eastAsia="Arial" w:hAnsi="Arial"/>
          <w:sz w:val="22"/>
          <w:szCs w:val="22"/>
        </w:rPr>
        <w:t xml:space="preserve">The interaction term beta_2 captures whether tidal triggering strengthens with magnitude. Testing beta_2 != 0 is a single hypothesis test, eliminating the multiple-testing problem entirely. This is more powerful than binned tests and directly addresses the Ide et al. claim of magnitude-dependent effects.</w:t>
      </w:r>
    </w:p>
    <w:p>
      <w:pPr>
        <w:pStyle w:val="Heading3"/>
        <w:spacing w:after="200" w:line="276"/>
      </w:pPr>
      <w:r>
        <w:rPr>
          <w:rFonts w:ascii="Arial" w:cs="Arial" w:eastAsia="Arial" w:hAnsi="Arial"/>
          <w:sz w:val="22"/>
          <w:szCs w:val="22"/>
        </w:rPr>
        <w:t xml:space="preserve">5.2.3 Bayesian Evidence Quantification</w:t>
      </w:r>
    </w:p>
    <w:p>
      <w:pPr>
        <w:spacing w:after="200" w:line="276"/>
      </w:pPr>
      <w:r>
        <w:rPr>
          <w:rFonts w:ascii="Arial" w:cs="Arial" w:eastAsia="Arial" w:hAnsi="Arial"/>
          <w:sz w:val="22"/>
          <w:szCs w:val="22"/>
        </w:rPr>
        <w:t xml:space="preserve">Given the small sample sizes at M8.0+ and the high prior implausibility (tidal stress is 1000x smaller than stress drops), we supplement frequentist tests with Bayesian analysis:</w:t>
      </w:r>
    </w:p>
    <w:p>
      <w:pPr>
        <w:spacing w:after="200" w:line="276"/>
      </w:pPr>
      <w:r>
        <w:rPr>
          <w:rFonts w:ascii="Arial" w:cs="Arial" w:eastAsia="Arial" w:hAnsi="Arial"/>
          <w:b/>
          <w:bCs/>
          <w:sz w:val="22"/>
          <w:szCs w:val="22"/>
        </w:rPr>
        <w:t xml:space="preserve">Prior: </w:t>
      </w:r>
      <w:r>
        <w:rPr>
          <w:rFonts w:ascii="Arial" w:cs="Arial" w:eastAsia="Arial" w:hAnsi="Arial"/>
          <w:sz w:val="22"/>
          <w:szCs w:val="22"/>
        </w:rPr>
        <w:t xml:space="preserve">Skeptical prior. P(tidal triggering is real) = 0.15, reflecting the physics objection. Effect size prior: half-normal with sigma = 0.5 (centered on no effect, allowing modest positive effects).</w:t>
      </w:r>
    </w:p>
    <w:p>
      <w:pPr>
        <w:spacing w:after="200" w:line="276"/>
      </w:pPr>
      <w:r>
        <w:rPr>
          <w:rFonts w:ascii="Arial" w:cs="Arial" w:eastAsia="Arial" w:hAnsi="Arial"/>
          <w:b/>
          <w:bCs/>
          <w:sz w:val="22"/>
          <w:szCs w:val="22"/>
        </w:rPr>
        <w:t xml:space="preserve">Evidence thresholds: </w:t>
      </w:r>
      <w:r>
        <w:rPr>
          <w:rFonts w:ascii="Arial" w:cs="Arial" w:eastAsia="Arial" w:hAnsi="Arial"/>
          <w:sz w:val="22"/>
          <w:szCs w:val="22"/>
        </w:rPr>
        <w:t xml:space="preserve">Bayes factor &gt; 10: strong evidence for tidal effect. BF 3-10: moderate evidence. BF 1-3: anecdotal. BF &lt; 1: evidence favors null. BF &lt; 0.1: strong evidence for null.</w:t>
      </w:r>
    </w:p>
    <w:p>
      <w:pPr>
        <w:spacing w:after="200" w:line="276"/>
      </w:pPr>
      <w:r>
        <w:rPr>
          <w:rFonts w:ascii="Arial" w:cs="Arial" w:eastAsia="Arial" w:hAnsi="Arial"/>
          <w:b/>
          <w:bCs/>
          <w:sz w:val="22"/>
          <w:szCs w:val="22"/>
        </w:rPr>
        <w:t xml:space="preserve">Posterior reporting: </w:t>
      </w:r>
      <w:r>
        <w:rPr>
          <w:rFonts w:ascii="Arial" w:cs="Arial" w:eastAsia="Arial" w:hAnsi="Arial"/>
          <w:sz w:val="22"/>
          <w:szCs w:val="22"/>
        </w:rPr>
        <w:t xml:space="preserve">Report posterior probability P(H1 | data) = BF * prior / (BF * prior + 1 - prior). With prior = 0.15 and BF = 10, posterior = 0.64. Even strong frequentist significance requires substantial Bayesian evidence to overcome the physics-based skeptical prior.</w:t>
      </w:r>
    </w:p>
    <w:p>
      <w:pPr>
        <w:pStyle w:val="Heading3"/>
        <w:spacing w:after="200" w:line="276"/>
      </w:pPr>
      <w:r>
        <w:rPr>
          <w:rFonts w:ascii="Arial" w:cs="Arial" w:eastAsia="Arial" w:hAnsi="Arial"/>
          <w:sz w:val="22"/>
          <w:szCs w:val="22"/>
        </w:rPr>
        <w:t xml:space="preserve">5.2.4 Permutation Validation</w:t>
      </w:r>
    </w:p>
    <w:p>
      <w:pPr>
        <w:spacing w:after="200" w:line="276"/>
      </w:pPr>
      <w:r>
        <w:rPr>
          <w:rFonts w:ascii="Arial" w:cs="Arial" w:eastAsia="Arial" w:hAnsi="Arial"/>
          <w:sz w:val="22"/>
          <w:szCs w:val="22"/>
        </w:rPr>
        <w:t xml:space="preserve">To validate the binomial test assumptions, we run a permutation test: shuffle earthquake origin times 10,000 times (preserving catalog magnitude-frequency structure and temporal clustering), recompute the syzygy proportion each time, and compare the observed proportion to the empirical null distribution. This makes no distributional assumptions and accounts for any non-Poisson structure in the catalog.</w:t>
      </w:r>
    </w:p>
    <w:p>
      <w:r>
        <w:br w:type="page"/>
      </w:r>
    </w:p>
    <w:p>
      <w:pPr>
        <w:pStyle w:val="Heading1"/>
        <w:spacing w:after="200" w:line="276"/>
      </w:pPr>
      <w:r>
        <w:rPr>
          <w:rFonts w:ascii="Arial" w:cs="Arial" w:eastAsia="Arial" w:hAnsi="Arial"/>
          <w:sz w:val="22"/>
          <w:szCs w:val="22"/>
        </w:rPr>
        <w:t xml:space="preserve">6. Falsification Criteria</w:t>
      </w:r>
    </w:p>
    <w:p>
      <w:pPr>
        <w:spacing w:after="200" w:line="276"/>
      </w:pPr>
      <w:r>
        <w:rPr>
          <w:rFonts w:ascii="Arial" w:cs="Arial" w:eastAsia="Arial" w:hAnsi="Arial"/>
          <w:sz w:val="22"/>
          <w:szCs w:val="22"/>
        </w:rPr>
        <w:t xml:space="preserve">Explicit falsification criteria are non-negotiable. Thesis A's strength was its honest null result. Thesis B must be equally rigorous about what constitutes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Primary falsification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binomial test p &gt; 0.01 for M7.5+ subduction earthquakes with +/-3 day syzygy window: primary hypothesis NOT SUPPORTED.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Strong null evidence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Bayes factor &lt; 0.1: strong evidence AGAINST tidal triggering. Formally conclude null.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Dose-response failure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beta_2 (magnitude interaction) is non-significant AND individual magnitude bins show no trend: magnitude-dependent effect is NOT SUPPORTED.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Robustness failure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result is significant under one declustering method but not others: finding is FRAGILE and should not be reported as confirmed.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Prospective failure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prospective validation (2-3 years of new M7.5+ events) contradicts hindcast: original finding was likely overfitted.</w:t>
            </w:r>
          </w:p>
        </w:tc>
      </w:tr>
    </w:tbl>
    <w:p>
      <w:r>
        <w:br w:type="page"/>
      </w:r>
    </w:p>
    <w:p>
      <w:pPr>
        <w:pStyle w:val="Heading1"/>
        <w:spacing w:after="200" w:line="276"/>
      </w:pPr>
      <w:r>
        <w:rPr>
          <w:rFonts w:ascii="Arial" w:cs="Arial" w:eastAsia="Arial" w:hAnsi="Arial"/>
          <w:sz w:val="22"/>
          <w:szCs w:val="22"/>
        </w:rPr>
        <w:t xml:space="preserve">7. Physical Mechanisms Under Test</w:t>
      </w:r>
    </w:p>
    <w:p>
      <w:pPr>
        <w:pStyle w:val="Heading2"/>
        <w:spacing w:after="200" w:line="276"/>
      </w:pPr>
      <w:r>
        <w:rPr>
          <w:rFonts w:ascii="Arial" w:cs="Arial" w:eastAsia="Arial" w:hAnsi="Arial"/>
          <w:sz w:val="22"/>
          <w:szCs w:val="22"/>
        </w:rPr>
        <w:t xml:space="preserve">7.1 Direct Coulomb Stress Triggering</w:t>
      </w:r>
    </w:p>
    <w:p>
      <w:pPr>
        <w:spacing w:after="200" w:line="276"/>
      </w:pPr>
      <w:r>
        <w:rPr>
          <w:rFonts w:ascii="Arial" w:cs="Arial" w:eastAsia="Arial" w:hAnsi="Arial"/>
          <w:sz w:val="22"/>
          <w:szCs w:val="22"/>
        </w:rPr>
        <w:t xml:space="preserve">The simplest mechanism: tidal stress directly modifies the Coulomb failure stress on the fault. For a shallow-dipping thrust fault (dip ~15 degrees), tidal compression is nearly normal to the fault plane: delta_sigma_n = delta_sigma_tidal * cos(15 degrees) = 0.97 * delta_sigma_tidal. At 1-5 kPa tidal stress, this produces a 1-5 kPa increase in effective normal stress. Under rate-and-state friction, this modulates nucleation rate by delta_r/r = delta_tau / (A * sigma_n). For faults at shallow depth with elevated pore pressure, the rate modulation can reach 2-5%.</w:t>
      </w:r>
    </w:p>
    <w:p>
      <w:pPr>
        <w:pStyle w:val="Heading2"/>
        <w:spacing w:after="200" w:line="276"/>
      </w:pPr>
      <w:r>
        <w:rPr>
          <w:rFonts w:ascii="Arial" w:cs="Arial" w:eastAsia="Arial" w:hAnsi="Arial"/>
          <w:sz w:val="22"/>
          <w:szCs w:val="22"/>
        </w:rPr>
        <w:t xml:space="preserve">7.2 Slow-Slip Cascade Pathway</w:t>
      </w:r>
    </w:p>
    <w:p>
      <w:pPr>
        <w:spacing w:after="200" w:line="276"/>
      </w:pPr>
      <w:r>
        <w:rPr>
          <w:rFonts w:ascii="Arial" w:cs="Arial" w:eastAsia="Arial" w:hAnsi="Arial"/>
          <w:sz w:val="22"/>
          <w:szCs w:val="22"/>
        </w:rPr>
        <w:t xml:space="preserve">The more compelling mechanism, supported by our fault physics analysis: tides modulate slow slip events (well-documented, with 20-100% rate increases at tidal extrema), and slow slip occasionally cascades into great earthquakes. This two-step pathway explains the magnitude-dependence puzzle: tidal stress does not directly nucleate great earthquakes, but it accelerates creep on the plate interface, which weakens adjacent locked patches. The evidence base is strong for the first step (tidal modulation of ETS/tremor in Cascadia, Nankai, Mexico) but circumstantial for the second (slow-slip-to-great-earthquake transitions are rare and poorly documented).</w:t>
      </w:r>
    </w:p>
    <w:p>
      <w:pPr>
        <w:pStyle w:val="Heading2"/>
        <w:spacing w:after="200" w:line="276"/>
      </w:pPr>
      <w:r>
        <w:rPr>
          <w:rFonts w:ascii="Arial" w:cs="Arial" w:eastAsia="Arial" w:hAnsi="Arial"/>
          <w:sz w:val="22"/>
          <w:szCs w:val="22"/>
        </w:rPr>
        <w:t xml:space="preserve">7.3 Ocean Loading Enhancement</w:t>
      </w:r>
    </w:p>
    <w:p>
      <w:pPr>
        <w:spacing w:after="200" w:line="276"/>
      </w:pPr>
      <w:r>
        <w:rPr>
          <w:rFonts w:ascii="Arial" w:cs="Arial" w:eastAsia="Arial" w:hAnsi="Arial"/>
          <w:sz w:val="22"/>
          <w:szCs w:val="22"/>
        </w:rPr>
        <w:t xml:space="preserve">At subduction zones near coastlines, ocean tidal loading can dominate over body tide effects. A 1-meter ocean tide corresponds to approximately 10 kPa surface load, which propagates to depth and increases pore pressure in the fault zone. For subduction zones with pore pressures near lithostatic (common in accretionary wedges), this can produce effective stress changes of 10-50% of A * sigma_n, much larger than body tide alone. This mechanism predicts: (a) stronger tidal effects at coastal subduction zones with large tidal amplitudes, (b) weaker effects at deep continental settings, and (c) depth-dependence (shallower faults more affected).</w:t>
      </w:r>
    </w:p>
    <w:p>
      <w:pPr>
        <w:pStyle w:val="Heading2"/>
        <w:spacing w:after="200" w:line="276"/>
      </w:pPr>
      <w:r>
        <w:rPr>
          <w:rFonts w:ascii="Arial" w:cs="Arial" w:eastAsia="Arial" w:hAnsi="Arial"/>
          <w:sz w:val="22"/>
          <w:szCs w:val="22"/>
        </w:rPr>
        <w:t xml:space="preserve">7.4 Predictions by Tectonic Setting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Expected Effect</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Testable?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Shallow subduction (dip &lt; 20 deg)</w:t>
            </w:r>
          </w:p>
        </w:tc>
        <w:tc>
          <w:tcPr>
            <w:tcW w:type="dxa" w:w="2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STRONGEST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 ocean loading + slow slip</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(primary test)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Steep subduction (dip &gt; 35 deg)</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Moderate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only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(fault-type split)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Strike-slip (San Andreas, Alpine)</w:t>
            </w:r>
          </w:p>
        </w:tc>
        <w:tc>
          <w:tcPr>
            <w:tcW w:type="dxa" w:w="2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sz w:val="20"/>
                <w:szCs w:val="20"/>
              </w:rPr>
              <w:t xml:space="preserve">Weak/none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Shear only, minimal normal stress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(control group)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Continental collision</w:t>
            </w:r>
          </w:p>
        </w:tc>
        <w:tc>
          <w:tcPr>
            <w:tcW w:type="dxa" w:w="2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sz w:val="20"/>
                <w:szCs w:val="20"/>
              </w:rPr>
              <w:t xml:space="preserve">Very weak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 high confining stress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N, limited</w:t>
            </w:r>
          </w:p>
        </w:tc>
      </w:tr>
    </w:tbl>
    <w:p>
      <w:r>
        <w:br w:type="page"/>
      </w:r>
    </w:p>
    <w:p>
      <w:pPr>
        <w:pStyle w:val="Heading1"/>
        <w:spacing w:after="200" w:line="276"/>
      </w:pPr>
      <w:r>
        <w:rPr>
          <w:rFonts w:ascii="Arial" w:cs="Arial" w:eastAsia="Arial" w:hAnsi="Arial"/>
          <w:sz w:val="22"/>
          <w:szCs w:val="22"/>
        </w:rPr>
        <w:t xml:space="preserve">8. Devil's Advocate: Pre-Registered Objections</w:t>
      </w:r>
    </w:p>
    <w:p>
      <w:pPr>
        <w:spacing w:after="200" w:line="276"/>
      </w:pPr>
      <w:r>
        <w:rPr>
          <w:rFonts w:ascii="Arial" w:cs="Arial" w:eastAsia="Arial" w:hAnsi="Arial"/>
          <w:sz w:val="22"/>
          <w:szCs w:val="22"/>
        </w:rPr>
        <w:t xml:space="preserve">Our adversarial review identified the following failure modes. Each is addressed with a specific mitigation built into the study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Objection</w:t>
            </w:r>
          </w:p>
        </w:tc>
        <w:tc>
          <w:tcPr>
            <w:tcW w:type="dxa" w:w="33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3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Tidal stress too small</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kPa vs 1-10 MPa stress drops. Prior probability of direct triggering is low.</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Bayesian framework with skeptical prior (P=0.15). Require BF&gt;10 for strong evidence. Report posterior odds honestly.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Aftershock contamination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M9.0 near syzygy inflates count with M7+ aftershocks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Three-layer declustering: G-K + manual + extended windows. Result must survive all three.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Post-hoc threshold selection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Choosing M8.5+ after seeing data (as Ide et al. may have done)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pre-registered threshold (M7.5+). Dose-response model for magnitude-dependence. No post-hoc bin selection.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Small-N noise at M8.5+</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 ~15 events, random clustering mimics signal</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test at M7.5+ (N~200). M8.0+ is secondary. Report exact CIs. Never claim significance from M8.5+ alone.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Publication bias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File-drawer effect inflates apparent positive rate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Stricter alpha (0.01 vs 0.05). Commit to publishing null result. Pre-registration ensures credibility.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Catalog completeness drift</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Pre-1964 M7.5 detection is incomplete in remote regions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Separate pre-1964 and post-1964 analyses. Primary conclusion from post-1964 only. Pre-1964 as supplementary.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Seasonal confounding</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Monsoon, ice-unloading, or reservoir cycles partially correlated with lunar periods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Logistic regression includes month-of-year covariate. Permutation test preserves seasonal structure.</w:t>
            </w:r>
          </w:p>
        </w:tc>
      </w:tr>
    </w:tbl>
    <w:p>
      <w:r>
        <w:br w:type="page"/>
      </w:r>
    </w:p>
    <w:p>
      <w:pPr>
        <w:pStyle w:val="Heading1"/>
        <w:spacing w:after="200" w:line="276"/>
      </w:pPr>
      <w:r>
        <w:rPr>
          <w:rFonts w:ascii="Arial" w:cs="Arial" w:eastAsia="Arial" w:hAnsi="Arial"/>
          <w:sz w:val="22"/>
          <w:szCs w:val="22"/>
        </w:rPr>
        <w:t xml:space="preserve">9. Statistical Power Analysis</w:t>
      </w:r>
    </w:p>
    <w:p>
      <w:pPr>
        <w:spacing w:after="200" w:line="276"/>
      </w:pPr>
      <w:r>
        <w:rPr>
          <w:rFonts w:ascii="Arial" w:cs="Arial" w:eastAsia="Arial" w:hAnsi="Arial"/>
          <w:sz w:val="22"/>
          <w:szCs w:val="22"/>
        </w:rPr>
        <w:t xml:space="preserve">Power analysis determines whether we have enough data to detect the effect if it exists. This is critical because an underpowered study that fails to find an effect proves nothing.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1600"/>
        <w:gridCol w:w="1600"/>
        <w:gridCol w:w="15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Mag Threshold</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Est. N</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RR = 1.5x</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RR = 2.0x</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RR = 2.5x</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RR = 3.0x</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M7.0+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~55% power</w:t>
            </w:r>
          </w:p>
        </w:tc>
        <w:tc>
          <w:tcPr>
            <w:tcW w:type="dxa" w:w="1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~95% power</w:t>
            </w:r>
          </w:p>
        </w:tc>
        <w:tc>
          <w:tcPr>
            <w:tcW w:type="dxa" w:w="1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&gt;99% power</w:t>
            </w:r>
          </w:p>
        </w:tc>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&gt;99% power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M7.5+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w:t>
            </w:r>
          </w:p>
        </w:tc>
        <w:tc>
          <w:tcPr>
            <w:tcW w:type="dxa" w:w="1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sz w:val="20"/>
                <w:szCs w:val="20"/>
              </w:rPr>
              <w:t xml:space="preserve">~30% power</w:t>
            </w:r>
          </w:p>
        </w:tc>
        <w:tc>
          <w:tcPr>
            <w:tcW w:type="dxa" w:w="1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~75% power</w:t>
            </w:r>
          </w:p>
        </w:tc>
        <w:tc>
          <w:tcPr>
            <w:tcW w:type="dxa" w:w="1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~95% power</w:t>
            </w:r>
          </w:p>
        </w:tc>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&gt;99% power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M8.0+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w:t>
            </w:r>
          </w:p>
        </w:tc>
        <w:tc>
          <w:tcPr>
            <w:tcW w:type="dxa" w:w="1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sz w:val="20"/>
                <w:szCs w:val="20"/>
              </w:rPr>
              <w:t xml:space="preserve">~12% power</w:t>
            </w:r>
          </w:p>
        </w:tc>
        <w:tc>
          <w:tcPr>
            <w:tcW w:type="dxa" w:w="1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sz w:val="20"/>
                <w:szCs w:val="20"/>
              </w:rPr>
              <w:t xml:space="preserve">~35% power</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~60% power</w:t>
            </w:r>
          </w:p>
        </w:tc>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~80% power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M8.5+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c>
          <w:tcPr>
            <w:tcW w:type="dxa" w:w="1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sz w:val="20"/>
                <w:szCs w:val="20"/>
              </w:rPr>
              <w:t xml:space="preserve">&lt;5% power</w:t>
            </w:r>
          </w:p>
        </w:tc>
        <w:tc>
          <w:tcPr>
            <w:tcW w:type="dxa" w:w="1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sz w:val="20"/>
                <w:szCs w:val="20"/>
              </w:rPr>
              <w:t xml:space="preserve">~12% power</w:t>
            </w:r>
          </w:p>
        </w:tc>
        <w:tc>
          <w:tcPr>
            <w:tcW w:type="dxa" w:w="1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sz w:val="20"/>
                <w:szCs w:val="20"/>
              </w:rPr>
              <w:t xml:space="preserve">~25% power</w:t>
            </w:r>
          </w:p>
        </w:tc>
        <w:tc>
          <w:tcPr>
            <w:tcW w:type="dxa" w:w="15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sz w:val="20"/>
                <w:szCs w:val="20"/>
              </w:rPr>
              <w:t xml:space="preserve">~35% power</w:t>
            </w:r>
          </w:p>
        </w:tc>
      </w:tr>
    </w:tbl>
    <w:p>
      <w:pPr>
        <w:spacing w:after="200" w:line="276"/>
      </w:pPr>
      <w:r>
        <w:rPr>
          <w:rFonts w:ascii="Arial" w:cs="Arial" w:eastAsia="Arial" w:hAnsi="Arial"/>
          <w:sz w:val="22"/>
          <w:szCs w:val="22"/>
        </w:rPr>
        <w:t xml:space="preserve"/>
      </w:r>
    </w:p>
    <w:p>
      <w:pPr>
        <w:spacing w:after="200" w:line="276"/>
      </w:pPr>
      <w:r>
        <w:rPr>
          <w:rFonts w:ascii="Arial" w:cs="Arial" w:eastAsia="Arial" w:hAnsi="Arial"/>
          <w:i/>
          <w:iCs/>
          <w:sz w:val="22"/>
          <w:szCs w:val="22"/>
        </w:rPr>
        <w:t xml:space="preserve">Key insight: M7.5+ provides adequate power (&gt;75%) for effect sizes of RR &gt;= 2.0x, which is the range reported by Ide et al. for the largest events. M8.0+ alone is underpowered for modest effects. M8.5+ is severely underpowered and should never be used as a standalone primary test. Our choice of M7.5+ as the primary threshold reflects this power analysis.</w:t>
      </w:r>
    </w:p>
    <w:p>
      <w:r>
        <w:br w:type="page"/>
      </w:r>
    </w:p>
    <w:p>
      <w:pPr>
        <w:pStyle w:val="Heading1"/>
        <w:spacing w:after="200" w:line="276"/>
      </w:pPr>
      <w:r>
        <w:rPr>
          <w:rFonts w:ascii="Arial" w:cs="Arial" w:eastAsia="Arial" w:hAnsi="Arial"/>
          <w:sz w:val="22"/>
          <w:szCs w:val="22"/>
        </w:rPr>
        <w:t xml:space="preserve">10. Implementation Plan</w:t>
      </w:r>
    </w:p>
    <w:p>
      <w:pPr>
        <w:pStyle w:val="Heading2"/>
        <w:spacing w:after="200" w:line="276"/>
      </w:pPr>
      <w:r>
        <w:rPr>
          <w:rFonts w:ascii="Arial" w:cs="Arial" w:eastAsia="Arial" w:hAnsi="Arial"/>
          <w:sz w:val="22"/>
          <w:szCs w:val="22"/>
        </w:rPr>
        <w:t xml:space="preserve">10.1 Phase 1: Catalog Assembly and Tidal Computation (Week 1-2)</w:t>
      </w:r>
    </w:p>
    <w:p>
      <w:pPr>
        <w:spacing w:after="200" w:line="276"/>
      </w:pPr>
      <w:r>
        <w:rPr>
          <w:rFonts w:ascii="Arial" w:cs="Arial" w:eastAsia="Arial" w:hAnsi="Arial"/>
          <w:b/>
          <w:bCs/>
          <w:sz w:val="22"/>
          <w:szCs w:val="22"/>
        </w:rPr>
        <w:t xml:space="preserve">Script: backfill-thesis-b.py. </w:t>
      </w:r>
      <w:r>
        <w:rPr>
          <w:rFonts w:ascii="Arial" w:cs="Arial" w:eastAsia="Arial" w:hAnsi="Arial"/>
          <w:sz w:val="22"/>
          <w:szCs w:val="22"/>
        </w:rPr>
        <w:t xml:space="preserve">Fetch ISC-GEM M7.0+ catalog (1904-2026). Compute Mw-uniform magnitudes. Assign each earthquake a tidal phase using Skyfield ephemeris (lunar elongation from Sun at earthquake origin time). Classify each event: syzygy window (+/-3 days from new/full moon), quadrature window (+/-3 days from quarter moon), or neutral. Apply Gardner-Knopoff declustering. Output: thesis-b-catalog.json containing declustured events with tidal phase assignments.</w:t>
      </w:r>
    </w:p>
    <w:p>
      <w:pPr>
        <w:pStyle w:val="Heading2"/>
        <w:spacing w:after="200" w:line="276"/>
      </w:pPr>
      <w:r>
        <w:rPr>
          <w:rFonts w:ascii="Arial" w:cs="Arial" w:eastAsia="Arial" w:hAnsi="Arial"/>
          <w:sz w:val="22"/>
          <w:szCs w:val="22"/>
        </w:rPr>
        <w:t xml:space="preserve">10.2 Phase 2: Primary Analysis (Week 3)</w:t>
      </w:r>
    </w:p>
    <w:p>
      <w:pPr>
        <w:spacing w:after="200" w:line="276"/>
      </w:pPr>
      <w:r>
        <w:rPr>
          <w:rFonts w:ascii="Arial" w:cs="Arial" w:eastAsia="Arial" w:hAnsi="Arial"/>
          <w:b/>
          <w:bCs/>
          <w:sz w:val="22"/>
          <w:szCs w:val="22"/>
        </w:rPr>
        <w:t xml:space="preserve">Run pre-registered binomial test on M7.5+ subduction events. </w:t>
      </w:r>
      <w:r>
        <w:rPr>
          <w:rFonts w:ascii="Arial" w:cs="Arial" w:eastAsia="Arial" w:hAnsi="Arial"/>
          <w:sz w:val="22"/>
          <w:szCs w:val="22"/>
        </w:rPr>
        <w:t xml:space="preserve">Count events in syzygy windows vs. total. Compute exact binomial p-value and rate ratio with 95% Clopper-Pearson CI. Run 10,000-iteration permutation test. Fit dose-response logistic regression. Compute Bayes factor with skeptical prior. All results go to thesis-b-results.json.</w:t>
      </w:r>
    </w:p>
    <w:p>
      <w:pPr>
        <w:pStyle w:val="Heading2"/>
        <w:spacing w:after="200" w:line="276"/>
      </w:pPr>
      <w:r>
        <w:rPr>
          <w:rFonts w:ascii="Arial" w:cs="Arial" w:eastAsia="Arial" w:hAnsi="Arial"/>
          <w:sz w:val="22"/>
          <w:szCs w:val="22"/>
        </w:rPr>
        <w:t xml:space="preserve">10.3 Phase 3: Sensitivity and Robustness (Week 4)</w:t>
      </w:r>
    </w:p>
    <w:p>
      <w:pPr>
        <w:spacing w:after="200" w:line="276"/>
      </w:pPr>
      <w:r>
        <w:rPr>
          <w:rFonts w:ascii="Arial" w:cs="Arial" w:eastAsia="Arial" w:hAnsi="Arial"/>
          <w:b/>
          <w:bCs/>
          <w:sz w:val="22"/>
          <w:szCs w:val="22"/>
        </w:rPr>
        <w:t xml:space="preserve">Sensitivity sweep: </w:t>
      </w:r>
      <w:r>
        <w:rPr>
          <w:rFonts w:ascii="Arial" w:cs="Arial" w:eastAsia="Arial" w:hAnsi="Arial"/>
          <w:sz w:val="22"/>
          <w:szCs w:val="22"/>
        </w:rPr>
        <w:t xml:space="preserve">Repeat for M7.0+, M8.0+, M8.5+ (secondary, Bonferroni-corrected). Test +/-1 day and +/-2 day windows (supplementary, not primary). Split pre-1964 vs. post-1964. Split by subduction zone region. Test with extended declustering windows. Compare subduction vs. strike-slip vs. all settings.</w:t>
      </w:r>
    </w:p>
    <w:p>
      <w:pPr>
        <w:pStyle w:val="Heading2"/>
        <w:spacing w:after="200" w:line="276"/>
      </w:pPr>
      <w:r>
        <w:rPr>
          <w:rFonts w:ascii="Arial" w:cs="Arial" w:eastAsia="Arial" w:hAnsi="Arial"/>
          <w:sz w:val="22"/>
          <w:szCs w:val="22"/>
        </w:rPr>
        <w:t xml:space="preserve">10.4 Phase 4: ESO Integration (Week 5)</w:t>
      </w:r>
    </w:p>
    <w:p>
      <w:pPr>
        <w:spacing w:after="200" w:line="276"/>
      </w:pPr>
      <w:r>
        <w:rPr>
          <w:rFonts w:ascii="Arial" w:cs="Arial" w:eastAsia="Arial" w:hAnsi="Arial"/>
          <w:b/>
          <w:bCs/>
          <w:sz w:val="22"/>
          <w:szCs w:val="22"/>
        </w:rPr>
        <w:t xml:space="preserve">New file: thesis-b-tidal-seismic.js. </w:t>
      </w:r>
      <w:r>
        <w:rPr>
          <w:rFonts w:ascii="Arial" w:cs="Arial" w:eastAsia="Arial" w:hAnsi="Arial"/>
          <w:sz w:val="22"/>
          <w:szCs w:val="22"/>
        </w:rPr>
        <w:t xml:space="preserve">Register with ThesisFramework. Live trigger detection: monitor lunar phase and flag upcoming syzygy windows. Outcome measurement: check USGS M7.5+ feed during/after syzygy. Evidence accumulation: prospective hit/miss counter. Custom panel: backfill results + live monitoring + tidal phase indicator + prospective tracker.</w:t>
      </w:r>
    </w:p>
    <w:p>
      <w:pPr>
        <w:pStyle w:val="Heading2"/>
        <w:spacing w:after="200" w:line="276"/>
      </w:pPr>
      <w:r>
        <w:rPr>
          <w:rFonts w:ascii="Arial" w:cs="Arial" w:eastAsia="Arial" w:hAnsi="Arial"/>
          <w:sz w:val="22"/>
          <w:szCs w:val="22"/>
        </w:rPr>
        <w:t xml:space="preserve">10.5 Phase 5: Research Document and Prospective Tracking (Week 6+)</w:t>
      </w:r>
    </w:p>
    <w:p>
      <w:pPr>
        <w:spacing w:after="200" w:line="276"/>
      </w:pPr>
      <w:r>
        <w:rPr>
          <w:rFonts w:ascii="Arial" w:cs="Arial" w:eastAsia="Arial" w:hAnsi="Arial"/>
          <w:b/>
          <w:bCs/>
          <w:sz w:val="22"/>
          <w:szCs w:val="22"/>
        </w:rPr>
        <w:t xml:space="preserve">Write findings document (same format as Thesis A). </w:t>
      </w:r>
      <w:r>
        <w:rPr>
          <w:rFonts w:ascii="Arial" w:cs="Arial" w:eastAsia="Arial" w:hAnsi="Arial"/>
          <w:sz w:val="22"/>
          <w:szCs w:val="22"/>
        </w:rPr>
        <w:t xml:space="preserve">Begin prospective phase: every M7.5+ subduction earthquake for the next 2-3 years is logged against the pre-registered tidal phase prediction. Target: 20+ prospective events for validation.</w:t>
      </w:r>
    </w:p>
    <w:p>
      <w:r>
        <w:br w:type="page"/>
      </w:r>
    </w:p>
    <w:p>
      <w:pPr>
        <w:pStyle w:val="Heading1"/>
        <w:spacing w:after="200" w:line="276"/>
      </w:pPr>
      <w:r>
        <w:rPr>
          <w:rFonts w:ascii="Arial" w:cs="Arial" w:eastAsia="Arial" w:hAnsi="Arial"/>
          <w:sz w:val="22"/>
          <w:szCs w:val="22"/>
        </w:rPr>
        <w:t xml:space="preserve">11. Expected Outcome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We Find</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2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sz w:val="20"/>
                <w:szCs w:val="20"/>
              </w:rPr>
              <w:t xml:space="preserve">A: Strong signal</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M7.5+ p &lt; 0.01, RR &gt; 2.0, dose-response significant, BF &gt; 10, survives all declustering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Tidal triggering of great earthquakes is real and robust. Proceed to prospective validation. Consider compound stress thesis (combining with Thesis A Bz signal).</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0"/>
                <w:szCs w:val="20"/>
              </w:rPr>
              <w:t xml:space="preserve">B: Moderate signal</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M7.5+ p = 0.01-0.05, RR = 1.3-2.0, dose-response marginal, BF = 3-10</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Suggestive but inconclusive. Report honestly as exploratory finding (as we did for Thesis A Bz &lt;= -12 nT). Requires more data for confirmation.</w:t>
            </w:r>
          </w:p>
        </w:tc>
      </w:tr>
      <w:tr>
        <w:tc>
          <w:tcPr>
            <w:tcW w:type="dxa" w:w="20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sz w:val="20"/>
                <w:szCs w:val="20"/>
              </w:rPr>
              <w:t xml:space="preserve">C: Null result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M7.5+ p &gt; 0.05, RR near 1.0, BF &lt; 1</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evidence for tidal triggering at M7.5+ threshold. Equally valuable as a positive result. Publish as a well-designed negative finding. Consider: Ide et al. may have been a false positive.</w:t>
            </w:r>
          </w:p>
        </w:tc>
      </w:tr>
      <w:tr>
        <w:tc>
          <w:tcPr>
            <w:tcW w:type="dxa" w:w="20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tcPr>
          <w:p>
            <w:r>
              <w:rPr>
                <w:rFonts w:ascii="Arial" w:cs="Arial" w:eastAsia="Arial" w:hAnsi="Arial"/>
                <w:b/>
                <w:bCs/>
                <w:sz w:val="20"/>
                <w:szCs w:val="20"/>
              </w:rPr>
              <w:t xml:space="preserve">D: Setting-dependent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 only in shallow subduction (dip &lt; 20 deg), absent elsewhere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Physically consistent with ocean loading + slow slip mechanism. Narrow the hypothesis for prospective testing. Very interesting for fault physics.</w:t>
            </w:r>
          </w:p>
        </w:tc>
      </w:tr>
    </w:tbl>
    <w:p>
      <w:r>
        <w:br w:type="page"/>
      </w:r>
    </w:p>
    <w:p>
      <w:pPr>
        <w:pStyle w:val="Heading1"/>
        <w:spacing w:after="200" w:line="276"/>
      </w:pPr>
      <w:r>
        <w:rPr>
          <w:rFonts w:ascii="Arial" w:cs="Arial" w:eastAsia="Arial" w:hAnsi="Arial"/>
          <w:sz w:val="22"/>
          <w:szCs w:val="22"/>
        </w:rPr>
        <w:t xml:space="preserve">12. Connection to ESO Research Program</w:t>
      </w:r>
    </w:p>
    <w:p>
      <w:pPr>
        <w:spacing w:after="200" w:line="276"/>
      </w:pPr>
      <w:r>
        <w:rPr>
          <w:rFonts w:ascii="Arial" w:cs="Arial" w:eastAsia="Arial" w:hAnsi="Arial"/>
          <w:sz w:val="22"/>
          <w:szCs w:val="22"/>
        </w:rPr>
        <w:t xml:space="preserve">Thesis B fits naturally into the Earth Systems Observatory's mission of investigating cross-domain geophysical couplings. The Moon's gravitational influence on seismicity represents one of the most fundamental Earth-system interactions: a celestial body modulating solid-Earth behavior through tidal mechanics.</w:t>
      </w:r>
    </w:p>
    <w:p>
      <w:pPr>
        <w:pStyle w:val="Heading2"/>
        <w:spacing w:after="200" w:line="276"/>
      </w:pPr>
      <w:r>
        <w:rPr>
          <w:rFonts w:ascii="Arial" w:cs="Arial" w:eastAsia="Arial" w:hAnsi="Arial"/>
          <w:sz w:val="22"/>
          <w:szCs w:val="22"/>
        </w:rPr>
        <w:t xml:space="preserve">12.1 Relationship to Thesis A</w:t>
      </w:r>
    </w:p>
    <w:p>
      <w:pPr>
        <w:spacing w:after="200" w:line="276"/>
      </w:pPr>
      <w:r>
        <w:rPr>
          <w:rFonts w:ascii="Arial" w:cs="Arial" w:eastAsia="Arial" w:hAnsi="Arial"/>
          <w:sz w:val="22"/>
          <w:szCs w:val="22"/>
        </w:rPr>
        <w:t xml:space="preserve">Thesis A investigated solar wind (Bz) influence on seismicity. Thesis B investigates tidal (lunar) influence. Both test whether external forcings modulate earthquake probability. If both show positive signals (Thesis A at Bz &lt;= -12 nT, Thesis B during syzygy), the natural next question is Thesis C: do these forcings compound? Is the earthquake probability highest when a severe geomagnetic storm coincides with a syzygy window? This compound-stress hypothesis becomes much more credible with two independently validated individual signals.</w:t>
      </w:r>
    </w:p>
    <w:p>
      <w:pPr>
        <w:pStyle w:val="Heading2"/>
        <w:spacing w:after="200" w:line="276"/>
      </w:pPr>
      <w:r>
        <w:rPr>
          <w:rFonts w:ascii="Arial" w:cs="Arial" w:eastAsia="Arial" w:hAnsi="Arial"/>
          <w:sz w:val="22"/>
          <w:szCs w:val="22"/>
        </w:rPr>
        <w:t xml:space="preserve">12.2 Data Infrastructure Reuse</w:t>
      </w:r>
    </w:p>
    <w:p>
      <w:pPr>
        <w:spacing w:after="200" w:line="276"/>
      </w:pPr>
      <w:r>
        <w:rPr>
          <w:rFonts w:ascii="Arial" w:cs="Arial" w:eastAsia="Arial" w:hAnsi="Arial"/>
          <w:sz w:val="22"/>
          <w:szCs w:val="22"/>
        </w:rPr>
        <w:t xml:space="preserve">Thesis B leverages the existing ESO infrastructure: the USGS FDSNWS pipeline, the SUBDUCTION_ZONES lookup table, the Gardner-Knopoff declustering code from backfill-thesis-a.py, the ThesisFramework registration system, and the evidence accumulation architecture. The primary new components are the Skyfield ephemeris computation and the tidal phase classification logic.</w:t>
      </w:r>
    </w:p>
    <w:p>
      <w:pPr>
        <w:pStyle w:val="Heading2"/>
        <w:spacing w:after="200" w:line="276"/>
      </w:pPr>
      <w:r>
        <w:rPr>
          <w:rFonts w:ascii="Arial" w:cs="Arial" w:eastAsia="Arial" w:hAnsi="Arial"/>
          <w:sz w:val="22"/>
          <w:szCs w:val="22"/>
        </w:rPr>
        <w:t xml:space="preserve">12.3 Future Thesis C: Compound Stress</w:t>
      </w:r>
    </w:p>
    <w:p>
      <w:pPr>
        <w:spacing w:after="200" w:line="276"/>
      </w:pPr>
      <w:r>
        <w:rPr>
          <w:rFonts w:ascii="Arial" w:cs="Arial" w:eastAsia="Arial" w:hAnsi="Arial"/>
          <w:sz w:val="22"/>
          <w:szCs w:val="22"/>
        </w:rPr>
        <w:t xml:space="preserve">If Thesis B succeeds, the original compound-stress hypothesis (Kp &gt;= 5 + syzygy + b-value depression) can be reformulated as a two-signal compound test: Bz &lt;= -12 nT AND syzygy window. This eliminates the b-value parameter (which was the weakest component, requiring subjective choices about region size and completeness). The reformulated compound hypothesis has fewer degrees of freedom and is more defensible.</w:t>
      </w:r>
    </w:p>
    <w:p>
      <w:pPr>
        <w:spacing w:before="600"/>
      </w:pPr>
    </w:p>
    <w:p>
      <w:r>
        <w:rPr>
          <w:rFonts w:ascii="Arial" w:cs="Arial" w:eastAsia="Arial" w:hAnsi="Arial"/>
          <w:i/>
          <w:iCs/>
          <w:color w:val="888888"/>
          <w:sz w:val="18"/>
          <w:szCs w:val="18"/>
        </w:rPr>
        <w:t xml:space="preserve">Document prepared: April 2026  |  Earth Systems Observatory  |  Pre-Registration Draft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EARTH SYSTEMS OBSERVATORY</w:t>
    </w:r>
    <w:r>
      <w:rPr>
        <w:rFonts w:ascii="Arial" w:cs="Arial" w:eastAsia="Arial" w:hAnsi="Arial"/>
        <w:i/>
        <w:iCs/>
        <w:color w:val="888888"/>
        <w:sz w:val="16"/>
        <w:szCs w:val="16"/>
      </w:rPr>
      <w:t xml:space="preserve">  |  Thesis B Research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80" w:before="280"/>
      <w:outlineLvl w:val="1"/>
    </w:pPr>
    <w:rPr>
      <w:rFonts w:ascii="Arial" w:cs="Arial" w:eastAsia="Arial" w:hAnsi="Arial"/>
      <w:b/>
      <w:bCs/>
      <w:color w:val="2E509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A6EA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2026-04-02T17:29:09.805Z</dcterms:created>
  <dcterms:modified xsi:type="dcterms:W3CDTF">2026-04-02T17:29:09.805Z</dcterms:modified>
</cp:coreProperties>
</file>

<file path=docProps/custom.xml><?xml version="1.0" encoding="utf-8"?>
<Properties xmlns="http://schemas.openxmlformats.org/officeDocument/2006/custom-properties" xmlns:vt="http://schemas.openxmlformats.org/officeDocument/2006/docPropsVTypes"/>
</file>