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6E197" w14:textId="4122F8F2" w:rsidR="00F85BCC" w:rsidRDefault="008A7723">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 xml:space="preserve">Análisis del informe de incidentes </w:t>
      </w:r>
      <w:bookmarkStart w:id="0" w:name="_GoBack"/>
      <w:bookmarkEnd w:id="0"/>
    </w:p>
    <w:p w14:paraId="22B6E198" w14:textId="77777777" w:rsidR="00F85BCC" w:rsidRDefault="00F85BCC">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85BCC" w14:paraId="22B6E19B" w14:textId="77777777">
        <w:trPr>
          <w:trHeight w:val="420"/>
        </w:trPr>
        <w:tc>
          <w:tcPr>
            <w:tcW w:w="2055" w:type="dxa"/>
            <w:shd w:val="clear" w:color="auto" w:fill="auto"/>
            <w:tcMar>
              <w:top w:w="100" w:type="dxa"/>
              <w:left w:w="100" w:type="dxa"/>
              <w:bottom w:w="100" w:type="dxa"/>
              <w:right w:w="100" w:type="dxa"/>
            </w:tcMar>
          </w:tcPr>
          <w:p w14:paraId="22B6E199"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b/>
              </w:rPr>
              <w:t>Resumen</w:t>
            </w:r>
          </w:p>
        </w:tc>
        <w:tc>
          <w:tcPr>
            <w:tcW w:w="8025" w:type="dxa"/>
            <w:shd w:val="clear" w:color="auto" w:fill="auto"/>
            <w:tcMar>
              <w:top w:w="100" w:type="dxa"/>
              <w:left w:w="100" w:type="dxa"/>
              <w:bottom w:w="100" w:type="dxa"/>
              <w:right w:w="100" w:type="dxa"/>
            </w:tcMar>
          </w:tcPr>
          <w:p w14:paraId="22B6E19A"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 xml:space="preserve">Esta mañana, una becaria informó al departamento de TI de que no podía iniciar sesión en su cuenta de la red interna. Los registros de acceso indican que su cuenta ha estado accediendo activamente a </w:t>
            </w:r>
            <w:r>
              <w:rPr>
                <w:rFonts w:ascii="Google Sans" w:eastAsia="Google Sans" w:hAnsi="Google Sans" w:cs="Google Sans"/>
              </w:rPr>
              <w:t>registros en la base de datos de clientes, a pesar de que ella tiene bloqueado el acceso a dicha cuenta. La becaria indicó que esta mañana recibió un correo electrónico en el que se le solicitaba acceder a un sitio web externo e iniciar sesión con sus cred</w:t>
            </w:r>
            <w:r>
              <w:rPr>
                <w:rFonts w:ascii="Google Sans" w:eastAsia="Google Sans" w:hAnsi="Google Sans" w:cs="Google Sans"/>
              </w:rPr>
              <w:t>enciales de la red interna para recuperar un mensaje. Creemos que este fue el método utilizado por un actor malicioso para obtener acceso a nuestra red y a la base de datos de clientes. Otros dos empleados han detectado que faltan varios registros de clien</w:t>
            </w:r>
            <w:r>
              <w:rPr>
                <w:rFonts w:ascii="Google Sans" w:eastAsia="Google Sans" w:hAnsi="Google Sans" w:cs="Google Sans"/>
              </w:rPr>
              <w:t>tes o que estos contienen datos incorrectos. Todo apunta a que los datos de los clientes no solo quedaron expuestos ante un atacante malicioso, sino que parte de ellos también fueron eliminados o manipulados.</w:t>
            </w:r>
          </w:p>
        </w:tc>
      </w:tr>
      <w:tr w:rsidR="00F85BCC" w14:paraId="22B6E19E" w14:textId="77777777">
        <w:trPr>
          <w:trHeight w:val="420"/>
        </w:trPr>
        <w:tc>
          <w:tcPr>
            <w:tcW w:w="2055" w:type="dxa"/>
            <w:shd w:val="clear" w:color="auto" w:fill="auto"/>
            <w:tcMar>
              <w:top w:w="100" w:type="dxa"/>
              <w:left w:w="100" w:type="dxa"/>
              <w:bottom w:w="100" w:type="dxa"/>
              <w:right w:w="100" w:type="dxa"/>
            </w:tcMar>
          </w:tcPr>
          <w:p w14:paraId="22B6E19C"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Identificar</w:t>
            </w:r>
          </w:p>
        </w:tc>
        <w:tc>
          <w:tcPr>
            <w:tcW w:w="8025" w:type="dxa"/>
            <w:shd w:val="clear" w:color="auto" w:fill="auto"/>
            <w:tcMar>
              <w:top w:w="100" w:type="dxa"/>
              <w:left w:w="100" w:type="dxa"/>
              <w:bottom w:w="100" w:type="dxa"/>
              <w:right w:w="100" w:type="dxa"/>
            </w:tcMar>
          </w:tcPr>
          <w:p w14:paraId="22B6E19D"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El equipo de gestión de incidentes</w:t>
            </w:r>
            <w:r>
              <w:rPr>
                <w:rFonts w:ascii="Google Sans" w:eastAsia="Google Sans" w:hAnsi="Google Sans" w:cs="Google Sans"/>
              </w:rPr>
              <w:t xml:space="preserve"> auditó los sistemas, dispositivos y políticas de acceso implicados en el ataque para identificar las brechas de seguridad. El equipo descubrió que el usuario y la contraseña de una becaria fueron obtenidos por un atacante malicioso y utilizados para acced</w:t>
            </w:r>
            <w:r>
              <w:rPr>
                <w:rFonts w:ascii="Google Sans" w:eastAsia="Google Sans" w:hAnsi="Google Sans" w:cs="Google Sans"/>
              </w:rPr>
              <w:t>er a datos de nuestra base de datos de clientes. Tras una revisión inicial, parece que parte de los datos de los clientes fueron eliminados de la base de datos.</w:t>
            </w:r>
          </w:p>
        </w:tc>
      </w:tr>
      <w:tr w:rsidR="00F85BCC" w14:paraId="22B6E1A1" w14:textId="77777777">
        <w:trPr>
          <w:trHeight w:val="420"/>
        </w:trPr>
        <w:tc>
          <w:tcPr>
            <w:tcW w:w="2055" w:type="dxa"/>
            <w:shd w:val="clear" w:color="auto" w:fill="auto"/>
            <w:tcMar>
              <w:top w:w="100" w:type="dxa"/>
              <w:left w:w="100" w:type="dxa"/>
              <w:bottom w:w="100" w:type="dxa"/>
              <w:right w:w="100" w:type="dxa"/>
            </w:tcMar>
          </w:tcPr>
          <w:p w14:paraId="22B6E19F"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Proteger</w:t>
            </w:r>
          </w:p>
        </w:tc>
        <w:tc>
          <w:tcPr>
            <w:tcW w:w="8025" w:type="dxa"/>
            <w:shd w:val="clear" w:color="auto" w:fill="auto"/>
            <w:tcMar>
              <w:top w:w="100" w:type="dxa"/>
              <w:left w:w="100" w:type="dxa"/>
              <w:bottom w:w="100" w:type="dxa"/>
              <w:right w:w="100" w:type="dxa"/>
            </w:tcMar>
          </w:tcPr>
          <w:p w14:paraId="22B6E1A0" w14:textId="77777777" w:rsidR="00F85BCC" w:rsidRDefault="008A7723">
            <w:pPr>
              <w:widowControl w:val="0"/>
              <w:spacing w:line="360" w:lineRule="auto"/>
              <w:rPr>
                <w:rFonts w:ascii="Google Sans" w:eastAsia="Google Sans" w:hAnsi="Google Sans" w:cs="Google Sans"/>
                <w:b/>
              </w:rPr>
            </w:pPr>
            <w:r>
              <w:rPr>
                <w:rFonts w:ascii="Google Sans" w:eastAsia="Google Sans" w:hAnsi="Google Sans" w:cs="Google Sans"/>
              </w:rPr>
              <w:t>El equipo ha implementado nuevas políticas de autenticación para prevenir futuros ata</w:t>
            </w:r>
            <w:r>
              <w:rPr>
                <w:rFonts w:ascii="Google Sans" w:eastAsia="Google Sans" w:hAnsi="Google Sans" w:cs="Google Sans"/>
              </w:rPr>
              <w:t xml:space="preserve">ques: autenticación multifactor (MFA), límite de tres intentos de inicio de sesión y formación para todos los empleados sobre cómo proteger las credenciales de acceso. Además, implementaremos una nueva </w:t>
            </w:r>
            <w:r>
              <w:rPr>
                <w:rFonts w:ascii="Google Sans" w:eastAsia="Google Sans" w:hAnsi="Google Sans" w:cs="Google Sans"/>
              </w:rPr>
              <w:lastRenderedPageBreak/>
              <w:t>configuración protectora de firewall e invertiremos en</w:t>
            </w:r>
            <w:r>
              <w:rPr>
                <w:rFonts w:ascii="Google Sans" w:eastAsia="Google Sans" w:hAnsi="Google Sans" w:cs="Google Sans"/>
              </w:rPr>
              <w:t xml:space="preserve"> un sistema de prevención de intrusiones (IPS).</w:t>
            </w:r>
          </w:p>
        </w:tc>
      </w:tr>
      <w:tr w:rsidR="00F85BCC" w14:paraId="22B6E1A4" w14:textId="77777777">
        <w:trPr>
          <w:trHeight w:val="600"/>
        </w:trPr>
        <w:tc>
          <w:tcPr>
            <w:tcW w:w="2055" w:type="dxa"/>
            <w:shd w:val="clear" w:color="auto" w:fill="auto"/>
            <w:tcMar>
              <w:top w:w="100" w:type="dxa"/>
              <w:left w:w="100" w:type="dxa"/>
              <w:bottom w:w="100" w:type="dxa"/>
              <w:right w:w="100" w:type="dxa"/>
            </w:tcMar>
          </w:tcPr>
          <w:p w14:paraId="22B6E1A2"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lastRenderedPageBreak/>
              <w:t>Detectar</w:t>
            </w:r>
          </w:p>
        </w:tc>
        <w:tc>
          <w:tcPr>
            <w:tcW w:w="8025" w:type="dxa"/>
            <w:shd w:val="clear" w:color="auto" w:fill="auto"/>
            <w:tcMar>
              <w:top w:w="100" w:type="dxa"/>
              <w:left w:w="100" w:type="dxa"/>
              <w:bottom w:w="100" w:type="dxa"/>
              <w:right w:w="100" w:type="dxa"/>
            </w:tcMar>
          </w:tcPr>
          <w:p w14:paraId="22B6E1A3"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Para detectar nuevos ataques de acceso no autorizado en el futuro, el equipo utilizará una herramienta de registro de firewall y un sistema de detección de intrusiones (IDS) para monitorizar todo el</w:t>
            </w:r>
            <w:r>
              <w:rPr>
                <w:rFonts w:ascii="Google Sans" w:eastAsia="Google Sans" w:hAnsi="Google Sans" w:cs="Google Sans"/>
              </w:rPr>
              <w:t xml:space="preserve"> tráfico entrante desde Internet.</w:t>
            </w:r>
          </w:p>
        </w:tc>
      </w:tr>
      <w:tr w:rsidR="00F85BCC" w14:paraId="22B6E1A7" w14:textId="77777777">
        <w:trPr>
          <w:trHeight w:val="420"/>
        </w:trPr>
        <w:tc>
          <w:tcPr>
            <w:tcW w:w="2055" w:type="dxa"/>
            <w:shd w:val="clear" w:color="auto" w:fill="auto"/>
            <w:tcMar>
              <w:top w:w="100" w:type="dxa"/>
              <w:left w:w="100" w:type="dxa"/>
              <w:bottom w:w="100" w:type="dxa"/>
              <w:right w:w="100" w:type="dxa"/>
            </w:tcMar>
          </w:tcPr>
          <w:p w14:paraId="22B6E1A5"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Responder</w:t>
            </w:r>
          </w:p>
        </w:tc>
        <w:tc>
          <w:tcPr>
            <w:tcW w:w="8025" w:type="dxa"/>
            <w:shd w:val="clear" w:color="auto" w:fill="auto"/>
            <w:tcMar>
              <w:top w:w="100" w:type="dxa"/>
              <w:left w:w="100" w:type="dxa"/>
              <w:bottom w:w="100" w:type="dxa"/>
              <w:right w:w="100" w:type="dxa"/>
            </w:tcMar>
          </w:tcPr>
          <w:p w14:paraId="22B6E1A6"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 xml:space="preserve">El equipo deshabilitó la cuenta de red de la becaria. Proporcionamos formación a los becarios y empleados sobre cómo proteger las credenciales de acceso en el futuro. Informamos a la alta dirección de este </w:t>
            </w:r>
            <w:r>
              <w:rPr>
                <w:rFonts w:ascii="Google Sans" w:eastAsia="Google Sans" w:hAnsi="Google Sans" w:cs="Google Sans"/>
              </w:rPr>
              <w:t>suceso y ellos se pondrán en contacto con nuestros clientes por correo postal para informarles sobre la brecha de datos. La dirección también deberá notificar a las fuerzas de seguridad y a otros organismos según lo exijan las leyes locales.</w:t>
            </w:r>
          </w:p>
        </w:tc>
      </w:tr>
      <w:tr w:rsidR="00F85BCC" w14:paraId="22B6E1AA" w14:textId="77777777">
        <w:trPr>
          <w:trHeight w:val="420"/>
        </w:trPr>
        <w:tc>
          <w:tcPr>
            <w:tcW w:w="2055" w:type="dxa"/>
            <w:shd w:val="clear" w:color="auto" w:fill="auto"/>
            <w:tcMar>
              <w:top w:w="100" w:type="dxa"/>
              <w:left w:w="100" w:type="dxa"/>
              <w:bottom w:w="100" w:type="dxa"/>
              <w:right w:w="100" w:type="dxa"/>
            </w:tcMar>
          </w:tcPr>
          <w:p w14:paraId="22B6E1A8"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Recuperar</w:t>
            </w:r>
          </w:p>
        </w:tc>
        <w:tc>
          <w:tcPr>
            <w:tcW w:w="8025" w:type="dxa"/>
            <w:shd w:val="clear" w:color="auto" w:fill="auto"/>
            <w:tcMar>
              <w:top w:w="100" w:type="dxa"/>
              <w:left w:w="100" w:type="dxa"/>
              <w:bottom w:w="100" w:type="dxa"/>
              <w:right w:w="100" w:type="dxa"/>
            </w:tcMar>
          </w:tcPr>
          <w:p w14:paraId="22B6E1A9" w14:textId="77777777" w:rsidR="00F85BCC" w:rsidRDefault="008A7723">
            <w:pPr>
              <w:widowControl w:val="0"/>
              <w:spacing w:line="360" w:lineRule="auto"/>
              <w:rPr>
                <w:rFonts w:ascii="Google Sans" w:eastAsia="Google Sans" w:hAnsi="Google Sans" w:cs="Google Sans"/>
              </w:rPr>
            </w:pPr>
            <w:r>
              <w:rPr>
                <w:rFonts w:ascii="Google Sans" w:eastAsia="Google Sans" w:hAnsi="Google Sans" w:cs="Google Sans"/>
              </w:rPr>
              <w:t xml:space="preserve">El </w:t>
            </w:r>
            <w:r>
              <w:rPr>
                <w:rFonts w:ascii="Google Sans" w:eastAsia="Google Sans" w:hAnsi="Google Sans" w:cs="Google Sans"/>
              </w:rPr>
              <w:t>equipo recuperará los datos eliminados restaurando la base de datos a partir de la copia de seguridad completa de anoche. Hemos informado al personal de que cualquier información de clientes introducida o modificada esta mañana no estará registrada en la c</w:t>
            </w:r>
            <w:r>
              <w:rPr>
                <w:rFonts w:ascii="Google Sans" w:eastAsia="Google Sans" w:hAnsi="Google Sans" w:cs="Google Sans"/>
              </w:rPr>
              <w:t>opia de seguridad. Por lo tanto, deberán volver a introducir esa información en la base de datos una vez que se haya restaurado a partir de la copia de seguridad de la noche anterior.</w:t>
            </w:r>
          </w:p>
        </w:tc>
      </w:tr>
    </w:tbl>
    <w:p w14:paraId="22B6E1AB" w14:textId="77777777" w:rsidR="00F85BCC" w:rsidRDefault="00F85BCC">
      <w:pPr>
        <w:spacing w:after="200" w:line="360" w:lineRule="auto"/>
        <w:ind w:left="-360" w:right="-360"/>
        <w:rPr>
          <w:rFonts w:ascii="Google Sans" w:eastAsia="Google Sans" w:hAnsi="Google Sans" w:cs="Google Sans"/>
        </w:rPr>
      </w:pPr>
    </w:p>
    <w:p w14:paraId="22B6E1AC" w14:textId="77777777" w:rsidR="00F85BCC" w:rsidRDefault="008A7723">
      <w:pPr>
        <w:spacing w:after="200" w:line="360" w:lineRule="auto"/>
        <w:ind w:left="-360" w:right="-360"/>
        <w:rPr>
          <w:rFonts w:ascii="Google Sans" w:eastAsia="Google Sans" w:hAnsi="Google Sans" w:cs="Google Sans"/>
        </w:rPr>
      </w:pPr>
      <w:r>
        <w:pict w14:anchorId="22B6E1B1">
          <v:rect id="_x0000_i1025" style="width:0;height:1.5pt" o:hralign="center" o:hrstd="t" o:hr="t" fillcolor="#a0a0a0" stroked="f"/>
        </w:pict>
      </w:r>
    </w:p>
    <w:p w14:paraId="22B6E1AD" w14:textId="77777777" w:rsidR="00F85BCC" w:rsidRDefault="00F85BCC">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F85BCC" w14:paraId="22B6E1AF" w14:textId="77777777">
        <w:tc>
          <w:tcPr>
            <w:tcW w:w="10080" w:type="dxa"/>
            <w:shd w:val="clear" w:color="auto" w:fill="auto"/>
            <w:tcMar>
              <w:top w:w="100" w:type="dxa"/>
              <w:left w:w="100" w:type="dxa"/>
              <w:bottom w:w="100" w:type="dxa"/>
              <w:right w:w="100" w:type="dxa"/>
            </w:tcMar>
          </w:tcPr>
          <w:p w14:paraId="22B6E1AE" w14:textId="77777777" w:rsidR="00F85BCC" w:rsidRDefault="008A7723">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Reflexiones / Notas:</w:t>
            </w:r>
          </w:p>
        </w:tc>
      </w:tr>
    </w:tbl>
    <w:p w14:paraId="22B6E1B0" w14:textId="77777777" w:rsidR="00F85BCC" w:rsidRDefault="00F85BCC">
      <w:pPr>
        <w:spacing w:line="360" w:lineRule="auto"/>
        <w:ind w:left="-360" w:right="-360"/>
        <w:rPr>
          <w:rFonts w:ascii="Google Sans" w:eastAsia="Google Sans" w:hAnsi="Google Sans" w:cs="Google Sans"/>
        </w:rPr>
      </w:pPr>
    </w:p>
    <w:sectPr w:rsidR="00F85BCC">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6E1B9" w14:textId="77777777" w:rsidR="00000000" w:rsidRDefault="008A7723">
      <w:pPr>
        <w:spacing w:line="240" w:lineRule="auto"/>
      </w:pPr>
      <w:r>
        <w:separator/>
      </w:r>
    </w:p>
  </w:endnote>
  <w:endnote w:type="continuationSeparator" w:id="0">
    <w:p w14:paraId="22B6E1BB" w14:textId="77777777" w:rsidR="00000000" w:rsidRDefault="008A7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6E1B4" w14:textId="77777777" w:rsidR="00F85BCC" w:rsidRDefault="00F85BC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B6E1B5" w14:textId="77777777" w:rsidR="00000000" w:rsidRDefault="008A7723">
      <w:pPr>
        <w:spacing w:line="240" w:lineRule="auto"/>
      </w:pPr>
      <w:r>
        <w:separator/>
      </w:r>
    </w:p>
  </w:footnote>
  <w:footnote w:type="continuationSeparator" w:id="0">
    <w:p w14:paraId="22B6E1B7" w14:textId="77777777" w:rsidR="00000000" w:rsidRDefault="008A7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6E1B2" w14:textId="77777777" w:rsidR="00F85BCC" w:rsidRDefault="00F85BC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6E1B3" w14:textId="77777777" w:rsidR="00F85BCC" w:rsidRDefault="008A7723">
    <w:r>
      <w:rPr>
        <w:noProof/>
        <w:lang w:val="es-ES"/>
      </w:rPr>
      <w:drawing>
        <wp:inline distT="114300" distB="114300" distL="114300" distR="114300" wp14:anchorId="22B6E1B5" wp14:editId="22B6E1B6">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BCC"/>
    <w:rsid w:val="008A7723"/>
    <w:rsid w:val="00F85B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B6E197"/>
  <w15:docId w15:val="{A41DDEED-0751-4C7E-8CC0-01A2C432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463</Words>
  <Characters>2548</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Manuel Estirado Pacheco</cp:lastModifiedBy>
  <cp:revision>2</cp:revision>
  <dcterms:created xsi:type="dcterms:W3CDTF">2026-09-03T10:13:00Z</dcterms:created>
  <dcterms:modified xsi:type="dcterms:W3CDTF">2026-09-03T10:16:00Z</dcterms:modified>
</cp:coreProperties>
</file>