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365D"/>
          <w:sz w:val="40"/>
        </w:rPr>
        <w:t>Botium Toys: Informe de alcance, objetivos y evaluación de riesgos</w:t>
      </w:r>
    </w:p>
    <w:p>
      <w:pPr>
        <w:spacing w:before="0" w:after="320"/>
      </w:pPr>
      <w:r>
        <w:rPr>
          <w:rFonts w:ascii="Calibri" w:hAnsi="Calibri"/>
          <w:i/>
          <w:color w:val="718096"/>
          <w:sz w:val="22"/>
        </w:rPr>
        <w:t>Auditoría interna de seguridad, inventario de activos y análisis de cumplimiento</w:t>
      </w:r>
    </w:p>
    <w:p>
      <w:pPr>
        <w:spacing w:before="200" w:after="120"/>
      </w:pPr>
      <w:r>
        <w:rPr>
          <w:rFonts w:ascii="Calibri" w:hAnsi="Calibri"/>
          <w:b/>
          <w:color w:val="2B6CB0"/>
          <w:sz w:val="28"/>
        </w:rPr>
        <w:t>Alcance y objetivos de la auditoría</w:t>
      </w:r>
    </w:p>
    <w:p>
      <w:pPr>
        <w:spacing w:after="80"/>
      </w:pPr>
      <w:r>
        <w:rPr>
          <w:b/>
        </w:rPr>
        <w:t xml:space="preserve">Alcance: </w:t>
      </w:r>
      <w:r>
        <w:t>El alcance se define como la totalidad del programa de seguridad de Botium Toys. Esto implica evaluar todos los activos junto con los procesos y procedimientos internos relacionados con la implementación de controles y las mejores prácticas de cumplimiento normativo.</w:t>
      </w:r>
    </w:p>
    <w:p>
      <w:pPr>
        <w:spacing w:after="280"/>
      </w:pPr>
      <w:r>
        <w:rPr>
          <w:b/>
        </w:rPr>
        <w:t xml:space="preserve">Objetivos: </w:t>
      </w:r>
      <w:r>
        <w:t>Evaluar los activos existentes y completar la lista de verificación de controles y cumplimiento para determinar qué controles y mejores prácticas deben implementarse a fin de mejorar la postura de seguridad de Botium Toys.</w:t>
      </w:r>
    </w:p>
    <w:p>
      <w:pPr>
        <w:spacing w:before="200" w:after="120"/>
      </w:pPr>
      <w:r>
        <w:rPr>
          <w:rFonts w:ascii="Calibri" w:hAnsi="Calibri"/>
          <w:b/>
          <w:color w:val="2B6CB0"/>
          <w:sz w:val="28"/>
        </w:rPr>
        <w:t>Activos actuales</w:t>
      </w:r>
    </w:p>
    <w:p>
      <w:pPr>
        <w:spacing w:after="80"/>
      </w:pPr>
      <w:r>
        <w:t>Los activos gestionados por el Departamento de TI incluyen:</w:t>
      </w:r>
    </w:p>
    <w:p>
      <w:pPr>
        <w:pStyle w:val="ListBullet"/>
        <w:spacing w:after="60"/>
      </w:pPr>
      <w:r>
        <w:t>Equipos locales e instalaciones para las necesidades operativas de la oficina.</w:t>
      </w:r>
    </w:p>
    <w:p>
      <w:pPr>
        <w:pStyle w:val="ListBullet"/>
        <w:spacing w:after="60"/>
      </w:pPr>
      <w:r>
        <w:t>Equipamiento de los empleados: dispositivos de usuario final (ordenadores de sobremesa/portátiles, smartphones), estaciones de trabajo remotas, auriculares, cables, teclados, ratones, estaciones de acoplamiento (docking stations), cámaras de vigilancia, etc.</w:t>
      </w:r>
    </w:p>
    <w:p>
      <w:pPr>
        <w:pStyle w:val="ListBullet"/>
        <w:spacing w:after="60"/>
      </w:pPr>
      <w:r>
        <w:t>Productos de tienda física disponibles para venta minorista presencial y online; almacenados en el almacén anexo de la empresa.</w:t>
      </w:r>
    </w:p>
    <w:p>
      <w:pPr>
        <w:pStyle w:val="ListBullet"/>
        <w:spacing w:after="60"/>
      </w:pPr>
      <w:r>
        <w:t>Gestión de sistemas, software y servicios: contabilidad, telecomunicaciones, bases de datos, seguridad, comercio electrónico (e-commerce) y gestión de inventario.</w:t>
      </w:r>
    </w:p>
    <w:p>
      <w:pPr>
        <w:pStyle w:val="ListBullet"/>
        <w:spacing w:after="60"/>
      </w:pPr>
      <w:r>
        <w:t>Acceso a Internet.</w:t>
      </w:r>
    </w:p>
    <w:p>
      <w:pPr>
        <w:pStyle w:val="ListBullet"/>
        <w:spacing w:after="60"/>
      </w:pPr>
      <w:r>
        <w:t>Red interna.</w:t>
      </w:r>
    </w:p>
    <w:p>
      <w:pPr>
        <w:pStyle w:val="ListBullet"/>
        <w:spacing w:after="60"/>
      </w:pPr>
      <w:r>
        <w:t>Retención y almacenamiento de datos.</w:t>
      </w:r>
    </w:p>
    <w:p>
      <w:pPr>
        <w:pStyle w:val="ListBullet"/>
        <w:spacing w:after="60"/>
      </w:pPr>
      <w:r>
        <w:t>Mantenimiento de sistemas heredados (legacy): sistemas al final de su vida útil (End-of-Life) que requieren supervisión humana.</w:t>
      </w:r>
    </w:p>
    <w:p>
      <w:pPr>
        <w:spacing w:after="120"/>
      </w:pPr>
    </w:p>
    <w:p>
      <w:pPr>
        <w:spacing w:before="240" w:after="120"/>
      </w:pPr>
      <w:r>
        <w:rPr>
          <w:rFonts w:ascii="Calibri" w:hAnsi="Calibri"/>
          <w:b/>
          <w:color w:val="2B6CB0"/>
          <w:sz w:val="28"/>
        </w:rPr>
        <w:t>Evaluación de riesgos</w:t>
      </w:r>
    </w:p>
    <w:p>
      <w:pPr>
        <w:spacing w:before="120" w:after="80"/>
      </w:pPr>
      <w:r>
        <w:rPr>
          <w:b/>
          <w:color w:val="1A365D"/>
          <w:sz w:val="24"/>
        </w:rPr>
        <w:t>Descripción del riesgo</w:t>
      </w:r>
    </w:p>
    <w:p>
      <w:pPr>
        <w:spacing w:after="200"/>
      </w:pPr>
      <w:r>
        <w:t>Actualmente, existe una gestión inadecuada de los activos. Además, Botium Toys no cuenta con todos los controles adecuados implementados y es posible que no cumpla plenamente con las normativas y estándares estadounidenses e internacionales.</w:t>
      </w:r>
    </w:p>
    <w:p>
      <w:pPr>
        <w:spacing w:before="120" w:after="80"/>
      </w:pPr>
      <w:r>
        <w:rPr>
          <w:b/>
          <w:color w:val="1A365D"/>
          <w:sz w:val="24"/>
        </w:rPr>
        <w:t>Mejores prácticas de control</w:t>
      </w:r>
    </w:p>
    <w:p>
      <w:pPr>
        <w:spacing w:after="200"/>
      </w:pPr>
      <w:r>
        <w:t>La primera de las cinco funciones del marco NIST CSF es Identificar (Identify). Botium Toys deberá dedicar recursos a identificar sus activos para gestionarlos adecuadamente. Asimismo, necesitarán clasificar los activos existentes y determinar el impacto que tendría la pérdida de dichos activos, incluidos los sistemas, en la continuidad del negocio.</w:t>
      </w:r>
    </w:p>
    <w:p>
      <w:pPr>
        <w:spacing w:before="120" w:after="80"/>
      </w:pPr>
      <w:r>
        <w:rPr>
          <w:b/>
          <w:color w:val="1A365D"/>
          <w:sz w:val="24"/>
        </w:rPr>
        <w:t>Puntuación de riesgo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left w:val="single" w:sz="24" w:space="0" w:color="E53E3E"/>
          <w:top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5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C53030"/>
                <w:sz w:val="23"/>
              </w:rPr>
              <w:t>Puntuación de riesgo: 8 / 10 (Alta)</w:t>
              <w:br/>
            </w:r>
            <w:r>
              <w:rPr>
                <w:sz w:val="21"/>
              </w:rPr>
              <w:t>En una escala del 1 al 10, la puntuación de riesgo es de 8, lo cual se considera bastante alto. Esto se debe a la falta de controles y al incumplimiento de las mejores prácticas normativas y de conformidad.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1A365D"/>
          <w:sz w:val="24"/>
        </w:rPr>
        <w:t>Comentarios adicionales</w:t>
      </w:r>
    </w:p>
    <w:p>
      <w:pPr>
        <w:spacing w:after="120"/>
      </w:pPr>
      <w:r>
        <w:t>El impacto potencial por la pérdida de un activo está calificado como medio, debido a que el departamento de TI desconoce cuáles activos estarían en riesgo. El riesgo para los activos o la imposición de multas por parte de organismos reguladores es alto, debido a que Botium Toys no cuenta con todos los controles necesarios ni sigue plenamente las mejores prácticas vinculadas a regulaciones de cumplimiento para mantener los datos críticos privados y seguros. Revise los siguientes puntos para conocer los detalles específicos:</w:t>
      </w:r>
    </w:p>
    <w:p>
      <w:pPr>
        <w:pStyle w:val="ListBullet"/>
        <w:spacing w:after="60"/>
      </w:pPr>
      <w:r>
        <w:t>Actualmente, todos los empleados de Botium Toys tienen acceso a los datos almacenados internamente y podrían acceder a los datos de los titulares de tarjetas y a la información de identificación personal (PII / SPII) de los clientes.</w:t>
      </w:r>
    </w:p>
    <w:p>
      <w:pPr>
        <w:pStyle w:val="ListBullet"/>
        <w:spacing w:after="60"/>
      </w:pPr>
      <w:r>
        <w:t>En la actualidad no se utiliza cifrado para garantizar la confidencialidad de la información de las tarjetas de crédito de los clientes que es aceptada, procesada, transmitida y almacenada localmente en la base de datos interna de la empresa.</w:t>
      </w:r>
    </w:p>
    <w:p>
      <w:pPr>
        <w:pStyle w:val="ListBullet"/>
        <w:spacing w:after="60"/>
      </w:pPr>
      <w:r>
        <w:t>No se han implementado controles de acceso relativos al mínimo privilegio ni a la separación de funciones.</w:t>
      </w:r>
    </w:p>
    <w:p>
      <w:pPr>
        <w:pStyle w:val="ListBullet"/>
        <w:spacing w:after="60"/>
      </w:pPr>
      <w:r>
        <w:t>El departamento de TI ha asegurado la disponibilidad e integrado controles para garantizar la integridad de los datos.</w:t>
      </w:r>
    </w:p>
    <w:p>
      <w:pPr>
        <w:pStyle w:val="ListBullet"/>
        <w:spacing w:after="60"/>
      </w:pPr>
      <w:r>
        <w:t>El departamento de TI dispone de un cortafuegos (firewall) que bloquea el tráfico basándose en un conjunto de reglas de seguridad debidamente definidas.</w:t>
      </w:r>
    </w:p>
    <w:p>
      <w:pPr>
        <w:pStyle w:val="ListBullet"/>
        <w:spacing w:after="60"/>
      </w:pPr>
      <w:r>
        <w:t>El software antivirus está instalado y es supervisado periódicamente por el departamento de TI.</w:t>
      </w:r>
    </w:p>
    <w:p>
      <w:pPr>
        <w:pStyle w:val="ListBullet"/>
        <w:spacing w:after="60"/>
      </w:pPr>
      <w:r>
        <w:t>El departamento de TI no ha instalado un sistema de detección de intrusiones (IDS).</w:t>
      </w:r>
    </w:p>
    <w:p>
      <w:pPr>
        <w:pStyle w:val="ListBullet"/>
        <w:spacing w:after="60"/>
      </w:pPr>
      <w:r>
        <w:t>Actualmente no existen planes de recuperación ante desastres y la empresa no dispone de copias de seguridad (backups) de los datos críticos.</w:t>
      </w:r>
    </w:p>
    <w:p>
      <w:pPr>
        <w:pStyle w:val="ListBullet"/>
        <w:spacing w:after="60"/>
      </w:pPr>
      <w:r>
        <w:t>El departamento de TI ha establecido un plan para notificar a los clientes de la Unión Europea en un plazo máximo de 72 horas si se produce una brecha de seguridad. Además, se han desarrollado y aplicado políticas, procedimientos y procesos de privacidad entre los miembros del departamento de TI y otros empleados para documentar y mantener los datos adecuadamente.</w:t>
      </w:r>
    </w:p>
    <w:p>
      <w:pPr>
        <w:pStyle w:val="ListBullet"/>
        <w:spacing w:after="60"/>
      </w:pPr>
      <w:r>
        <w:t>Aunque existe una política de contraseñas, sus requisitos son nominales y no se ajustan a los requisitos mínimos actuales de complejidad (por ejemplo, al menos ocho caracteres, combinación de letras, al menos un número y caracteres especiales).</w:t>
      </w:r>
    </w:p>
    <w:p>
      <w:pPr>
        <w:pStyle w:val="ListBullet"/>
        <w:spacing w:after="60"/>
      </w:pPr>
      <w:r>
        <w:t>No existe un sistema centralizado de gestión de contraseñas que haga cumplir los requisitos mínimos de la política, lo que en ocasiones afecta a la productividad cuando los empleados o proveedores envían un ticket a TI para recuperar o restablecer una contraseña.</w:t>
      </w:r>
    </w:p>
    <w:p>
      <w:pPr>
        <w:pStyle w:val="ListBullet"/>
        <w:spacing w:after="60"/>
      </w:pPr>
      <w:r>
        <w:t>Aunque los sistemas heredados (legacy) se supervisan y mantienen, no existe un calendario regular establecido para estas tareas y los métodos de intervención no están claros.</w:t>
      </w:r>
    </w:p>
    <w:p>
      <w:pPr>
        <w:pStyle w:val="ListBullet"/>
        <w:spacing w:after="60"/>
      </w:pPr>
      <w:r>
        <w:t>La ubicación física de la tienda, que incluye las oficinas principales de Botium Toys, el local comercial y el almacén de productos, cuenta con cerraduras suficientes, videovigilancia actualizada por circuito cerrado de televisión (CCTV) y sistemas funcionales de detección y extinción de incendios.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