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240" w:lineRule="auto"/>
        <w:rPr/>
      </w:pPr>
      <w:r w:rsidDel="00000000" w:rsidR="00000000" w:rsidRPr="00000000">
        <w:rPr>
          <w:rFonts w:ascii="Arial" w:cs="Arial" w:eastAsia="Arial" w:hAnsi="Arial"/>
          <w:b w:val="1"/>
          <w:bCs w:val="1"/>
          <w:color w:val="1f5c99"/>
          <w:sz w:val="40"/>
          <w:szCs w:val="40"/>
          <w:rtl w:val="0"/>
        </w:rPr>
        <w:t xml:space="preserve">Retroalimentación para Health Companion</w:t>
      </w:r>
      <w:r w:rsidDel="00000000" w:rsidR="00000000" w:rsidRPr="00000000">
        <w:rPr>
          <w:rtl w:val="0"/>
        </w:rPr>
      </w:r>
    </w:p>
    <w:p w:rsidR="00000000" w:rsidDel="00000000" w:rsidP="00000000" w:rsidRDefault="00000000" w:rsidRPr="00000000" w14:paraId="00000002">
      <w:pPr>
        <w:spacing w:after="60" w:before="0" w:lineRule="auto"/>
        <w:rPr/>
      </w:pPr>
      <w:r w:rsidDel="00000000" w:rsidR="00000000" w:rsidRPr="00000000">
        <w:rPr>
          <w:rFonts w:ascii="Arial" w:cs="Arial" w:eastAsia="Arial" w:hAnsi="Arial"/>
          <w:i w:val="1"/>
          <w:iCs w:val="1"/>
          <w:color w:val="555555"/>
          <w:sz w:val="24"/>
          <w:szCs w:val="24"/>
          <w:rtl w:val="0"/>
        </w:rPr>
        <w:t xml:space="preserve">Perspectiva de usuario en proceso de rehabilitación activa</w:t>
      </w:r>
      <w:r w:rsidDel="00000000" w:rsidR="00000000" w:rsidRPr="00000000">
        <w:rPr>
          <w:rtl w:val="0"/>
        </w:rPr>
      </w:r>
    </w:p>
    <w:p w:rsidR="00000000" w:rsidDel="00000000" w:rsidP="00000000" w:rsidRDefault="00000000" w:rsidRPr="00000000" w14:paraId="00000003">
      <w:pPr>
        <w:spacing w:after="320" w:before="0" w:lineRule="auto"/>
        <w:rPr/>
      </w:pPr>
      <w:r w:rsidDel="00000000" w:rsidR="00000000" w:rsidRPr="00000000">
        <w:rPr>
          <w:rFonts w:ascii="Arial" w:cs="Arial" w:eastAsia="Arial" w:hAnsi="Arial"/>
          <w:color w:val="555555"/>
          <w:sz w:val="20"/>
          <w:szCs w:val="20"/>
          <w:rtl w:val="0"/>
        </w:rPr>
        <w:t xml:space="preserve">Abril 2026</w:t>
      </w:r>
      <w:r w:rsidDel="00000000" w:rsidR="00000000" w:rsidRPr="00000000">
        <w:rPr>
          <w:rtl w:val="0"/>
        </w:rPr>
      </w:r>
    </w:p>
    <w:p w:rsidR="00000000" w:rsidDel="00000000" w:rsidP="00000000" w:rsidRDefault="00000000" w:rsidRPr="00000000" w14:paraId="00000004">
      <w:pPr>
        <w:pBdr>
          <w:bottom w:color="dddddd" w:space="1" w:sz="4" w:val="single"/>
        </w:pBdr>
        <w:spacing w:after="80" w:before="80" w:lineRule="auto"/>
        <w:rPr/>
      </w:pPr>
      <w:r w:rsidDel="00000000" w:rsidR="00000000" w:rsidRPr="00000000">
        <w:rPr>
          <w:rtl w:val="0"/>
        </w:rPr>
      </w:r>
    </w:p>
    <w:p w:rsidR="00000000" w:rsidDel="00000000" w:rsidP="00000000" w:rsidRDefault="00000000" w:rsidRPr="00000000" w14:paraId="00000005">
      <w:pPr>
        <w:spacing w:after="0" w:before="240" w:lineRule="auto"/>
        <w:rPr/>
      </w:pPr>
      <w:r w:rsidDel="00000000" w:rsidR="00000000" w:rsidRPr="00000000">
        <w:rPr>
          <w:rtl w:val="0"/>
        </w:rPr>
      </w:r>
    </w:p>
    <w:p w:rsidR="00000000" w:rsidDel="00000000" w:rsidP="00000000" w:rsidRDefault="00000000" w:rsidRPr="00000000" w14:paraId="00000006">
      <w:pPr>
        <w:spacing w:after="120" w:before="0" w:lineRule="auto"/>
        <w:rPr/>
      </w:pPr>
      <w:r w:rsidDel="00000000" w:rsidR="00000000" w:rsidRPr="00000000">
        <w:rPr>
          <w:rFonts w:ascii="Arial" w:cs="Arial" w:eastAsia="Arial" w:hAnsi="Arial"/>
          <w:b w:val="1"/>
          <w:bCs w:val="1"/>
          <w:color w:val="1a1a1a"/>
          <w:sz w:val="22"/>
          <w:szCs w:val="22"/>
          <w:rtl w:val="0"/>
        </w:rPr>
        <w:t xml:space="preserve">Contexto</w:t>
      </w:r>
      <w:r w:rsidDel="00000000" w:rsidR="00000000" w:rsidRPr="00000000">
        <w:rPr>
          <w:rtl w:val="0"/>
        </w:rPr>
      </w:r>
    </w:p>
    <w:p w:rsidR="00000000" w:rsidDel="00000000" w:rsidP="00000000" w:rsidRDefault="00000000" w:rsidRPr="00000000" w14:paraId="00000007">
      <w:pPr>
        <w:spacing w:after="120" w:before="80" w:lineRule="auto"/>
        <w:rPr/>
      </w:pPr>
      <w:r w:rsidDel="00000000" w:rsidR="00000000" w:rsidRPr="00000000">
        <w:rPr>
          <w:rFonts w:ascii="Arial" w:cs="Arial" w:eastAsia="Arial" w:hAnsi="Arial"/>
          <w:color w:val="1a1a1a"/>
          <w:sz w:val="22"/>
          <w:szCs w:val="22"/>
          <w:rtl w:val="0"/>
        </w:rPr>
        <w:t xml:space="preserve">Esta retroalimentación surge de un proceso de rehabilitación de epicondilitis medial documentado durante varias semanas en conversación activa con un asistente de IA. El seguimiento incluyó protocolo de ejercicios, métricas de dolor, ajustes de carga, decisiones de equipo y registro sesión a sesión. Lo que se describe a continuación no es especulación sobre cómo debería funcionar un acompañante de salud digital — es lo que ya ocurrió, y lo que demostró ser valioso o insuficiente en la práctica.</w:t>
      </w:r>
      <w:r w:rsidDel="00000000" w:rsidR="00000000" w:rsidRPr="00000000">
        <w:rPr>
          <w:rtl w:val="0"/>
        </w:rPr>
      </w:r>
    </w:p>
    <w:p w:rsidR="00000000" w:rsidDel="00000000" w:rsidP="00000000" w:rsidRDefault="00000000" w:rsidRPr="00000000" w14:paraId="00000008">
      <w:pPr>
        <w:spacing w:after="0" w:before="160" w:lineRule="auto"/>
        <w:rPr/>
      </w:pPr>
      <w:r w:rsidDel="00000000" w:rsidR="00000000" w:rsidRPr="00000000">
        <w:rPr>
          <w:rtl w:val="0"/>
        </w:rPr>
      </w:r>
    </w:p>
    <w:p w:rsidR="00000000" w:rsidDel="00000000" w:rsidP="00000000" w:rsidRDefault="00000000" w:rsidRPr="00000000" w14:paraId="00000009">
      <w:pPr>
        <w:pStyle w:val="Heading1"/>
        <w:spacing w:after="160" w:before="400" w:lineRule="auto"/>
        <w:rPr/>
      </w:pPr>
      <w:r w:rsidDel="00000000" w:rsidR="00000000" w:rsidRPr="00000000">
        <w:rPr>
          <w:rFonts w:ascii="Arial" w:cs="Arial" w:eastAsia="Arial" w:hAnsi="Arial"/>
          <w:b w:val="1"/>
          <w:bCs w:val="1"/>
          <w:color w:val="1f5c99"/>
          <w:sz w:val="28"/>
          <w:szCs w:val="28"/>
          <w:rtl w:val="0"/>
        </w:rPr>
        <w:t xml:space="preserve">1. Lo que funcionó y debería estar en el producto</w:t>
      </w:r>
      <w:r w:rsidDel="00000000" w:rsidR="00000000" w:rsidRPr="00000000">
        <w:rPr>
          <w:rtl w:val="0"/>
        </w:rPr>
      </w:r>
    </w:p>
    <w:p w:rsidR="00000000" w:rsidDel="00000000" w:rsidP="00000000" w:rsidRDefault="00000000" w:rsidRPr="00000000" w14:paraId="0000000A">
      <w:pPr>
        <w:pStyle w:val="Heading2"/>
        <w:spacing w:after="120" w:before="280" w:lineRule="auto"/>
        <w:rPr/>
      </w:pPr>
      <w:r w:rsidDel="00000000" w:rsidR="00000000" w:rsidRPr="00000000">
        <w:rPr>
          <w:rFonts w:ascii="Arial" w:cs="Arial" w:eastAsia="Arial" w:hAnsi="Arial"/>
          <w:b w:val="1"/>
          <w:bCs w:val="1"/>
          <w:color w:val="1a1a1a"/>
          <w:sz w:val="24"/>
          <w:szCs w:val="24"/>
          <w:rtl w:val="0"/>
        </w:rPr>
        <w:t xml:space="preserve">1.1  Memoria longitudinal con documento de estado vivo</w:t>
      </w:r>
      <w:r w:rsidDel="00000000" w:rsidR="00000000" w:rsidRPr="00000000">
        <w:rPr>
          <w:rtl w:val="0"/>
        </w:rPr>
      </w:r>
    </w:p>
    <w:p w:rsidR="00000000" w:rsidDel="00000000" w:rsidP="00000000" w:rsidRDefault="00000000" w:rsidRPr="00000000" w14:paraId="0000000B">
      <w:pPr>
        <w:spacing w:after="120" w:before="80" w:lineRule="auto"/>
        <w:rPr/>
      </w:pPr>
      <w:r w:rsidDel="00000000" w:rsidR="00000000" w:rsidRPr="00000000">
        <w:rPr>
          <w:rFonts w:ascii="Arial" w:cs="Arial" w:eastAsia="Arial" w:hAnsi="Arial"/>
          <w:color w:val="1a1a1a"/>
          <w:sz w:val="22"/>
          <w:szCs w:val="22"/>
          <w:rtl w:val="0"/>
        </w:rPr>
        <w:t xml:space="preserve">El elemento de mayor valor en este proceso fue mantener un documento actualizado sesión a sesión: indicadores de dolor, decisiones tomadas, razonamiento detrás de cada ajuste y evolución clínica. Health Companion debería generar y mantener ese tipo de registro estructurado — no un historial de conversaciones, sino un documento de estado actual consultable en cualquier momento, tanto por el usuario como por el médico tratante.</w:t>
      </w:r>
      <w:r w:rsidDel="00000000" w:rsidR="00000000" w:rsidRPr="00000000">
        <w:rPr>
          <w:rtl w:val="0"/>
        </w:rPr>
      </w:r>
    </w:p>
    <w:p w:rsidR="00000000" w:rsidDel="00000000" w:rsidP="00000000" w:rsidRDefault="00000000" w:rsidRPr="00000000" w14:paraId="0000000C">
      <w:pPr>
        <w:pStyle w:val="Heading2"/>
        <w:spacing w:after="120" w:before="280" w:lineRule="auto"/>
        <w:rPr/>
      </w:pPr>
      <w:r w:rsidDel="00000000" w:rsidR="00000000" w:rsidRPr="00000000">
        <w:rPr>
          <w:rFonts w:ascii="Arial" w:cs="Arial" w:eastAsia="Arial" w:hAnsi="Arial"/>
          <w:b w:val="1"/>
          <w:bCs w:val="1"/>
          <w:color w:val="1a1a1a"/>
          <w:sz w:val="24"/>
          <w:szCs w:val="24"/>
          <w:rtl w:val="0"/>
        </w:rPr>
        <w:t xml:space="preserve">1.2  Separación explícita entre hecho clínico e interpretación</w:t>
      </w:r>
      <w:r w:rsidDel="00000000" w:rsidR="00000000" w:rsidRPr="00000000">
        <w:rPr>
          <w:rtl w:val="0"/>
        </w:rPr>
      </w:r>
    </w:p>
    <w:p w:rsidR="00000000" w:rsidDel="00000000" w:rsidP="00000000" w:rsidRDefault="00000000" w:rsidRPr="00000000" w14:paraId="0000000D">
      <w:pPr>
        <w:spacing w:after="120" w:before="80" w:lineRule="auto"/>
        <w:rPr/>
      </w:pPr>
      <w:r w:rsidDel="00000000" w:rsidR="00000000" w:rsidRPr="00000000">
        <w:rPr>
          <w:rFonts w:ascii="Arial" w:cs="Arial" w:eastAsia="Arial" w:hAnsi="Arial"/>
          <w:color w:val="1a1a1a"/>
          <w:sz w:val="22"/>
          <w:szCs w:val="22"/>
          <w:rtl w:val="0"/>
        </w:rPr>
        <w:t xml:space="preserve">En varias sesiones fue necesario distinguir entre «codo cansado» y «codo lesionado», entre «sensibilidad post-sesión» y «dolor residual». Esa precisión semántica tiene valor clínico real. Un acompañante que ayude al paciente a nombrarse con mayor exactitud genera datos más útiles para el equipo médico y reduce el riesgo de normalizar señales de alerta.</w:t>
      </w:r>
      <w:r w:rsidDel="00000000" w:rsidR="00000000" w:rsidRPr="00000000">
        <w:rPr>
          <w:rtl w:val="0"/>
        </w:rPr>
      </w:r>
    </w:p>
    <w:p w:rsidR="00000000" w:rsidDel="00000000" w:rsidP="00000000" w:rsidRDefault="00000000" w:rsidRPr="00000000" w14:paraId="0000000E">
      <w:pPr>
        <w:pStyle w:val="Heading2"/>
        <w:spacing w:after="120" w:before="280" w:lineRule="auto"/>
        <w:rPr/>
      </w:pPr>
      <w:r w:rsidDel="00000000" w:rsidR="00000000" w:rsidRPr="00000000">
        <w:rPr>
          <w:rFonts w:ascii="Arial" w:cs="Arial" w:eastAsia="Arial" w:hAnsi="Arial"/>
          <w:b w:val="1"/>
          <w:bCs w:val="1"/>
          <w:color w:val="1a1a1a"/>
          <w:sz w:val="24"/>
          <w:szCs w:val="24"/>
          <w:rtl w:val="0"/>
        </w:rPr>
        <w:t xml:space="preserve">1.3  El indicador proxy como ancla de seguimiento</w:t>
      </w:r>
      <w:r w:rsidDel="00000000" w:rsidR="00000000" w:rsidRPr="00000000">
        <w:rPr>
          <w:rtl w:val="0"/>
        </w:rPr>
      </w:r>
    </w:p>
    <w:p w:rsidR="00000000" w:rsidDel="00000000" w:rsidP="00000000" w:rsidRDefault="00000000" w:rsidRPr="00000000" w14:paraId="0000000F">
      <w:pPr>
        <w:spacing w:after="120" w:before="80" w:lineRule="auto"/>
        <w:rPr/>
      </w:pPr>
      <w:r w:rsidDel="00000000" w:rsidR="00000000" w:rsidRPr="00000000">
        <w:rPr>
          <w:rFonts w:ascii="Arial" w:cs="Arial" w:eastAsia="Arial" w:hAnsi="Arial"/>
          <w:color w:val="1a1a1a"/>
          <w:sz w:val="22"/>
          <w:szCs w:val="22"/>
          <w:rtl w:val="0"/>
        </w:rPr>
        <w:t xml:space="preserve">El indicador central del proceso fue el «saludo de mano en escala 0-10»: simple, reproducible, cotidiano y sin equipamiento. Permitió detectar tendencias a lo largo de semanas con consistencia. Health Companion debería diseñar este tipo de indicadores proxy adaptados a cada condición — no solo biomarcadores de laboratorio, sino métricas funcionales que el usuario pueda aplicar en su vida diaria.</w:t>
      </w:r>
      <w:r w:rsidDel="00000000" w:rsidR="00000000" w:rsidRPr="00000000">
        <w:rPr>
          <w:rtl w:val="0"/>
        </w:rPr>
      </w:r>
    </w:p>
    <w:p w:rsidR="00000000" w:rsidDel="00000000" w:rsidP="00000000" w:rsidRDefault="00000000" w:rsidRPr="00000000" w14:paraId="00000010">
      <w:pPr>
        <w:pStyle w:val="Heading2"/>
        <w:spacing w:after="120" w:before="280" w:lineRule="auto"/>
        <w:rPr/>
      </w:pPr>
      <w:r w:rsidDel="00000000" w:rsidR="00000000" w:rsidRPr="00000000">
        <w:rPr>
          <w:rFonts w:ascii="Arial" w:cs="Arial" w:eastAsia="Arial" w:hAnsi="Arial"/>
          <w:b w:val="1"/>
          <w:bCs w:val="1"/>
          <w:color w:val="1a1a1a"/>
          <w:sz w:val="24"/>
          <w:szCs w:val="24"/>
          <w:rtl w:val="0"/>
        </w:rPr>
        <w:t xml:space="preserve">1.4  Reglas de decisión explícitas, no solo recomendaciones</w:t>
      </w:r>
      <w:r w:rsidDel="00000000" w:rsidR="00000000" w:rsidRPr="00000000">
        <w:rPr>
          <w:rtl w:val="0"/>
        </w:rPr>
      </w:r>
    </w:p>
    <w:p w:rsidR="00000000" w:rsidDel="00000000" w:rsidP="00000000" w:rsidRDefault="00000000" w:rsidRPr="00000000" w14:paraId="00000011">
      <w:pPr>
        <w:spacing w:after="120" w:before="80" w:lineRule="auto"/>
        <w:rPr/>
      </w:pPr>
      <w:r w:rsidDel="00000000" w:rsidR="00000000" w:rsidRPr="00000000">
        <w:rPr>
          <w:rFonts w:ascii="Arial" w:cs="Arial" w:eastAsia="Arial" w:hAnsi="Arial"/>
          <w:color w:val="1a1a1a"/>
          <w:sz w:val="22"/>
          <w:szCs w:val="22"/>
          <w:rtl w:val="0"/>
        </w:rPr>
        <w:t xml:space="preserve">El protocolo de rehabilitación incluía una regla operativa precisa: si al día siguiente el indicador de dolor empeoró, reducir volumen a la mitad. Esa diferencia — entre una recomendación vaga como «escucha tu cuerpo» y una regla de acción ejecutable — es lo que permite al paciente tomar decisiones autónomas sin consultar al médico en cada momento. El producto debería traducir criterios clínicos en este tipo de reglas.</w:t>
      </w:r>
      <w:r w:rsidDel="00000000" w:rsidR="00000000" w:rsidRPr="00000000">
        <w:rPr>
          <w:rtl w:val="0"/>
        </w:rPr>
      </w:r>
    </w:p>
    <w:p w:rsidR="00000000" w:rsidDel="00000000" w:rsidP="00000000" w:rsidRDefault="00000000" w:rsidRPr="00000000" w14:paraId="00000012">
      <w:pPr>
        <w:pStyle w:val="Heading2"/>
        <w:spacing w:after="120" w:before="280" w:lineRule="auto"/>
        <w:rPr/>
      </w:pPr>
      <w:r w:rsidDel="00000000" w:rsidR="00000000" w:rsidRPr="00000000">
        <w:rPr>
          <w:rFonts w:ascii="Arial" w:cs="Arial" w:eastAsia="Arial" w:hAnsi="Arial"/>
          <w:b w:val="1"/>
          <w:bCs w:val="1"/>
          <w:color w:val="1a1a1a"/>
          <w:sz w:val="24"/>
          <w:szCs w:val="24"/>
          <w:rtl w:val="0"/>
        </w:rPr>
        <w:t xml:space="preserve">1.5  Registro de variables contextuales no clínicas</w:t>
      </w:r>
      <w:r w:rsidDel="00000000" w:rsidR="00000000" w:rsidRPr="00000000">
        <w:rPr>
          <w:rtl w:val="0"/>
        </w:rPr>
      </w:r>
    </w:p>
    <w:p w:rsidR="00000000" w:rsidDel="00000000" w:rsidP="00000000" w:rsidRDefault="00000000" w:rsidRPr="00000000" w14:paraId="00000013">
      <w:pPr>
        <w:spacing w:after="120" w:before="80" w:lineRule="auto"/>
        <w:rPr/>
      </w:pPr>
      <w:r w:rsidDel="00000000" w:rsidR="00000000" w:rsidRPr="00000000">
        <w:rPr>
          <w:rFonts w:ascii="Arial" w:cs="Arial" w:eastAsia="Arial" w:hAnsi="Arial"/>
          <w:color w:val="1a1a1a"/>
          <w:sz w:val="22"/>
          <w:szCs w:val="22"/>
          <w:rtl w:val="0"/>
        </w:rPr>
        <w:t xml:space="preserve">Factores como omitir un soporte de antebrazo, añadir carga de gimnasio o cambiar un accesorio de equipo resultaron clínicamente relevantes a posteriori. El producto debería facilitar el registro de estas variables periféricas — no solo síntomas directos — porque la causalidad en rehabilitación y prevención rara vez es lineal ni evidente en el momento.</w:t>
      </w:r>
      <w:r w:rsidDel="00000000" w:rsidR="00000000" w:rsidRPr="00000000">
        <w:rPr>
          <w:rtl w:val="0"/>
        </w:rPr>
      </w:r>
    </w:p>
    <w:p w:rsidR="00000000" w:rsidDel="00000000" w:rsidP="00000000" w:rsidRDefault="00000000" w:rsidRPr="00000000" w14:paraId="00000014">
      <w:pPr>
        <w:spacing w:after="0" w:before="160" w:lineRule="auto"/>
        <w:rPr/>
      </w:pPr>
      <w:r w:rsidDel="00000000" w:rsidR="00000000" w:rsidRPr="00000000">
        <w:rPr>
          <w:rtl w:val="0"/>
        </w:rPr>
      </w:r>
    </w:p>
    <w:p w:rsidR="00000000" w:rsidDel="00000000" w:rsidP="00000000" w:rsidRDefault="00000000" w:rsidRPr="00000000" w14:paraId="00000015">
      <w:pPr>
        <w:pStyle w:val="Heading1"/>
        <w:spacing w:after="160" w:before="400" w:lineRule="auto"/>
        <w:rPr/>
      </w:pPr>
      <w:r w:rsidDel="00000000" w:rsidR="00000000" w:rsidRPr="00000000">
        <w:rPr>
          <w:rFonts w:ascii="Arial" w:cs="Arial" w:eastAsia="Arial" w:hAnsi="Arial"/>
          <w:b w:val="1"/>
          <w:bCs w:val="1"/>
          <w:color w:val="1f5c99"/>
          <w:sz w:val="28"/>
          <w:szCs w:val="28"/>
          <w:rtl w:val="0"/>
        </w:rPr>
        <w:t xml:space="preserve">2. Tensiones que el concepto no resuelve todavía</w:t>
      </w:r>
      <w:r w:rsidDel="00000000" w:rsidR="00000000" w:rsidRPr="00000000">
        <w:rPr>
          <w:rtl w:val="0"/>
        </w:rPr>
      </w:r>
    </w:p>
    <w:p w:rsidR="00000000" w:rsidDel="00000000" w:rsidP="00000000" w:rsidRDefault="00000000" w:rsidRPr="00000000" w14:paraId="00000016">
      <w:pPr>
        <w:pStyle w:val="Heading2"/>
        <w:spacing w:after="120" w:before="280" w:lineRule="auto"/>
        <w:rPr/>
      </w:pPr>
      <w:r w:rsidDel="00000000" w:rsidR="00000000" w:rsidRPr="00000000">
        <w:rPr>
          <w:rFonts w:ascii="Arial" w:cs="Arial" w:eastAsia="Arial" w:hAnsi="Arial"/>
          <w:b w:val="1"/>
          <w:bCs w:val="1"/>
          <w:color w:val="1a1a1a"/>
          <w:sz w:val="24"/>
          <w:szCs w:val="24"/>
          <w:rtl w:val="0"/>
        </w:rPr>
        <w:t xml:space="preserve">2.1  El problema del umbral de consulta</w:t>
      </w:r>
      <w:r w:rsidDel="00000000" w:rsidR="00000000" w:rsidRPr="00000000">
        <w:rPr>
          <w:rtl w:val="0"/>
        </w:rPr>
      </w:r>
    </w:p>
    <w:p w:rsidR="00000000" w:rsidDel="00000000" w:rsidP="00000000" w:rsidRDefault="00000000" w:rsidRPr="00000000" w14:paraId="00000017">
      <w:pPr>
        <w:spacing w:after="120" w:before="80" w:lineRule="auto"/>
        <w:rPr/>
      </w:pPr>
      <w:r w:rsidDel="00000000" w:rsidR="00000000" w:rsidRPr="00000000">
        <w:rPr>
          <w:rFonts w:ascii="Arial" w:cs="Arial" w:eastAsia="Arial" w:hAnsi="Arial"/>
          <w:color w:val="1a1a1a"/>
          <w:sz w:val="22"/>
          <w:szCs w:val="22"/>
          <w:rtl w:val="0"/>
        </w:rPr>
        <w:t xml:space="preserve">En procesos de rehabilitación activa, la pregunta más frecuente no es «¿qué tengo?» sino «¿esto amerita ir al médico o puedo continuar?». El marco educa → contextualiza → refiere al profesional es correcto como principio, pero en la práctica esa frontera es difusa y la decisión de referir depende de variables que el sistema debe poder ponderar. El producto necesita un criterio explícito y transparente para cuándo escalar — y ese criterio debería ser visible para el usuario, no opaco.</w:t>
      </w:r>
      <w:r w:rsidDel="00000000" w:rsidR="00000000" w:rsidRPr="00000000">
        <w:rPr>
          <w:rtl w:val="0"/>
        </w:rPr>
      </w:r>
    </w:p>
    <w:p w:rsidR="00000000" w:rsidDel="00000000" w:rsidP="00000000" w:rsidRDefault="00000000" w:rsidRPr="00000000" w14:paraId="00000018">
      <w:pPr>
        <w:pStyle w:val="Heading2"/>
        <w:spacing w:after="120" w:before="280" w:lineRule="auto"/>
        <w:rPr/>
      </w:pPr>
      <w:r w:rsidDel="00000000" w:rsidR="00000000" w:rsidRPr="00000000">
        <w:rPr>
          <w:rFonts w:ascii="Arial" w:cs="Arial" w:eastAsia="Arial" w:hAnsi="Arial"/>
          <w:b w:val="1"/>
          <w:bCs w:val="1"/>
          <w:color w:val="1a1a1a"/>
          <w:sz w:val="24"/>
          <w:szCs w:val="24"/>
          <w:rtl w:val="0"/>
        </w:rPr>
        <w:t xml:space="preserve">2.2  La memoria longitudinal requiere disciplina de reporte</w:t>
      </w:r>
      <w:r w:rsidDel="00000000" w:rsidR="00000000" w:rsidRPr="00000000">
        <w:rPr>
          <w:rtl w:val="0"/>
        </w:rPr>
      </w:r>
    </w:p>
    <w:p w:rsidR="00000000" w:rsidDel="00000000" w:rsidP="00000000" w:rsidRDefault="00000000" w:rsidRPr="00000000" w14:paraId="00000019">
      <w:pPr>
        <w:spacing w:after="120" w:before="80" w:lineRule="auto"/>
        <w:rPr/>
      </w:pPr>
      <w:r w:rsidDel="00000000" w:rsidR="00000000" w:rsidRPr="00000000">
        <w:rPr>
          <w:rFonts w:ascii="Arial" w:cs="Arial" w:eastAsia="Arial" w:hAnsi="Arial"/>
          <w:color w:val="1a1a1a"/>
          <w:sz w:val="22"/>
          <w:szCs w:val="22"/>
          <w:rtl w:val="0"/>
        </w:rPr>
        <w:t xml:space="preserve">Gran parte del valor de este acompañamiento dependió de que el usuario reportara activamente cada sesión. Si Health Companion depende del mismo nivel de disciplina, funcionará bien para usuarios ya motivados y fallará para quienes más lo necesitan. Vale la pena explorar mecanismos de captura pasiva, recordatorios contextuales o fricción mínima de registro — especialmente para poblaciones con baja adherencia tecnológica.</w:t>
      </w:r>
      <w:r w:rsidDel="00000000" w:rsidR="00000000" w:rsidRPr="00000000">
        <w:rPr>
          <w:rtl w:val="0"/>
        </w:rPr>
      </w:r>
    </w:p>
    <w:p w:rsidR="00000000" w:rsidDel="00000000" w:rsidP="00000000" w:rsidRDefault="00000000" w:rsidRPr="00000000" w14:paraId="0000001A">
      <w:pPr>
        <w:pStyle w:val="Heading2"/>
        <w:spacing w:after="120" w:before="280" w:lineRule="auto"/>
        <w:rPr/>
      </w:pPr>
      <w:r w:rsidDel="00000000" w:rsidR="00000000" w:rsidRPr="00000000">
        <w:rPr>
          <w:rFonts w:ascii="Arial" w:cs="Arial" w:eastAsia="Arial" w:hAnsi="Arial"/>
          <w:b w:val="1"/>
          <w:bCs w:val="1"/>
          <w:color w:val="1a1a1a"/>
          <w:sz w:val="24"/>
          <w:szCs w:val="24"/>
          <w:rtl w:val="0"/>
        </w:rPr>
        <w:t xml:space="preserve">2.3  El riesgo de la falsa tranquilidad</w:t>
      </w:r>
      <w:r w:rsidDel="00000000" w:rsidR="00000000" w:rsidRPr="00000000">
        <w:rPr>
          <w:rtl w:val="0"/>
        </w:rPr>
      </w:r>
    </w:p>
    <w:p w:rsidR="00000000" w:rsidDel="00000000" w:rsidP="00000000" w:rsidRDefault="00000000" w:rsidRPr="00000000" w14:paraId="0000001B">
      <w:pPr>
        <w:spacing w:after="120" w:before="80" w:lineRule="auto"/>
        <w:rPr/>
      </w:pPr>
      <w:r w:rsidDel="00000000" w:rsidR="00000000" w:rsidRPr="00000000">
        <w:rPr>
          <w:rFonts w:ascii="Arial" w:cs="Arial" w:eastAsia="Arial" w:hAnsi="Arial"/>
          <w:color w:val="1a1a1a"/>
          <w:sz w:val="22"/>
          <w:szCs w:val="22"/>
          <w:rtl w:val="0"/>
        </w:rPr>
        <w:t xml:space="preserve">Los modelos de lenguaje tienden a validar. En rehabilitación, ese sesgo puede ser clínicamente peligroso: una respuesta que trata una buena sesión como hito de recuperación consolidada, cuando en realidad es un dato preliminar, puede llevar al usuario a incrementar carga antes de tiempo. El diseño del tono y los límites del sistema debe contemplar explícitamente este riesgo — y preferir la cautela calibrada sobre el refuerzo positivo automático.</w:t>
      </w:r>
      <w:r w:rsidDel="00000000" w:rsidR="00000000" w:rsidRPr="00000000">
        <w:rPr>
          <w:rtl w:val="0"/>
        </w:rPr>
      </w:r>
    </w:p>
    <w:p w:rsidR="00000000" w:rsidDel="00000000" w:rsidP="00000000" w:rsidRDefault="00000000" w:rsidRPr="00000000" w14:paraId="0000001C">
      <w:pPr>
        <w:spacing w:after="0" w:before="160" w:lineRule="auto"/>
        <w:rPr/>
      </w:pPr>
      <w:r w:rsidDel="00000000" w:rsidR="00000000" w:rsidRPr="00000000">
        <w:rPr>
          <w:rtl w:val="0"/>
        </w:rPr>
      </w:r>
    </w:p>
    <w:p w:rsidR="00000000" w:rsidDel="00000000" w:rsidP="00000000" w:rsidRDefault="00000000" w:rsidRPr="00000000" w14:paraId="0000001D">
      <w:pPr>
        <w:pStyle w:val="Heading1"/>
        <w:spacing w:after="160" w:before="400" w:lineRule="auto"/>
        <w:rPr/>
      </w:pPr>
      <w:r w:rsidDel="00000000" w:rsidR="00000000" w:rsidRPr="00000000">
        <w:rPr>
          <w:rFonts w:ascii="Arial" w:cs="Arial" w:eastAsia="Arial" w:hAnsi="Arial"/>
          <w:b w:val="1"/>
          <w:bCs w:val="1"/>
          <w:color w:val="1f5c99"/>
          <w:sz w:val="28"/>
          <w:szCs w:val="28"/>
          <w:rtl w:val="0"/>
        </w:rPr>
        <w:t xml:space="preserve">3. Observación estructural</w:t>
      </w:r>
      <w:r w:rsidDel="00000000" w:rsidR="00000000" w:rsidRPr="00000000">
        <w:rPr>
          <w:rtl w:val="0"/>
        </w:rPr>
      </w:r>
    </w:p>
    <w:p w:rsidR="00000000" w:rsidDel="00000000" w:rsidP="00000000" w:rsidRDefault="00000000" w:rsidRPr="00000000" w14:paraId="0000001E">
      <w:pPr>
        <w:spacing w:after="120" w:before="80" w:lineRule="auto"/>
        <w:rPr/>
      </w:pPr>
      <w:r w:rsidDel="00000000" w:rsidR="00000000" w:rsidRPr="00000000">
        <w:rPr>
          <w:rFonts w:ascii="Arial" w:cs="Arial" w:eastAsia="Arial" w:hAnsi="Arial"/>
          <w:color w:val="1a1a1a"/>
          <w:sz w:val="22"/>
          <w:szCs w:val="22"/>
          <w:rtl w:val="0"/>
        </w:rPr>
        <w:t xml:space="preserve">El concepto habla de recrear al «médico familiar de hace décadas». Lo que este proceso sugiere es que el valor central no está en simular al médico, sino en ser el sistema de registro y razonamiento que el médico no tiene tiempo de mantener.</w:t>
      </w:r>
      <w:r w:rsidDel="00000000" w:rsidR="00000000" w:rsidRPr="00000000">
        <w:rPr>
          <w:rtl w:val="0"/>
        </w:rPr>
      </w:r>
    </w:p>
    <w:p w:rsidR="00000000" w:rsidDel="00000000" w:rsidP="00000000" w:rsidRDefault="00000000" w:rsidRPr="00000000" w14:paraId="0000001F">
      <w:pPr>
        <w:spacing w:after="0" w:before="80" w:lineRule="auto"/>
        <w:rPr/>
      </w:pPr>
      <w:r w:rsidDel="00000000" w:rsidR="00000000" w:rsidRPr="00000000">
        <w:rPr>
          <w:rtl w:val="0"/>
        </w:rPr>
      </w:r>
    </w:p>
    <w:p w:rsidR="00000000" w:rsidDel="00000000" w:rsidP="00000000" w:rsidRDefault="00000000" w:rsidRPr="00000000" w14:paraId="00000020">
      <w:pPr>
        <w:spacing w:after="120" w:before="80" w:lineRule="auto"/>
        <w:rPr/>
      </w:pPr>
      <w:r w:rsidDel="00000000" w:rsidR="00000000" w:rsidRPr="00000000">
        <w:rPr>
          <w:rFonts w:ascii="Arial" w:cs="Arial" w:eastAsia="Arial" w:hAnsi="Arial"/>
          <w:color w:val="1a1a1a"/>
          <w:sz w:val="22"/>
          <w:szCs w:val="22"/>
          <w:rtl w:val="0"/>
        </w:rPr>
        <w:t xml:space="preserve">El médico ve al paciente 15 minutos cada dos meses. El acompañante tiene el contexto completo de las últimas ocho semanas: qué ejercicios se hicieron, qué carga se toleró, qué variables cambiaron, qué decisiones se tomaron y con qué resultado. Esa asimetría de información — bien diseñada — es el producto. No el diagnóstico, no la prescripción: la memoria estructurada que convierte al paciente en un interlocutor informado frente a su médico.</w:t>
      </w:r>
      <w:r w:rsidDel="00000000" w:rsidR="00000000" w:rsidRPr="00000000">
        <w:rPr>
          <w:rtl w:val="0"/>
        </w:rPr>
      </w:r>
    </w:p>
    <w:p w:rsidR="00000000" w:rsidDel="00000000" w:rsidP="00000000" w:rsidRDefault="00000000" w:rsidRPr="00000000" w14:paraId="00000021">
      <w:pPr>
        <w:spacing w:after="0" w:before="240" w:lineRule="auto"/>
        <w:rPr/>
      </w:pPr>
      <w:r w:rsidDel="00000000" w:rsidR="00000000" w:rsidRPr="00000000">
        <w:rPr>
          <w:rtl w:val="0"/>
        </w:rPr>
      </w:r>
    </w:p>
    <w:p w:rsidR="00000000" w:rsidDel="00000000" w:rsidP="00000000" w:rsidRDefault="00000000" w:rsidRPr="00000000" w14:paraId="00000022">
      <w:pPr>
        <w:pBdr>
          <w:bottom w:color="dddddd" w:space="1" w:sz="4" w:val="single"/>
        </w:pBdr>
        <w:spacing w:after="80" w:before="80" w:lineRule="auto"/>
        <w:rPr/>
      </w:pPr>
      <w:r w:rsidDel="00000000" w:rsidR="00000000" w:rsidRPr="00000000">
        <w:rPr>
          <w:rtl w:val="0"/>
        </w:rPr>
      </w:r>
    </w:p>
    <w:p w:rsidR="00000000" w:rsidDel="00000000" w:rsidP="00000000" w:rsidRDefault="00000000" w:rsidRPr="00000000" w14:paraId="00000023">
      <w:pPr>
        <w:spacing w:after="0" w:before="160" w:lineRule="auto"/>
        <w:rPr/>
      </w:pPr>
      <w:r w:rsidDel="00000000" w:rsidR="00000000" w:rsidRPr="00000000">
        <w:rPr>
          <w:rtl w:val="0"/>
        </w:rPr>
      </w:r>
    </w:p>
    <w:p w:rsidR="00000000" w:rsidDel="00000000" w:rsidP="00000000" w:rsidRDefault="00000000" w:rsidRPr="00000000" w14:paraId="00000024">
      <w:pPr>
        <w:spacing w:after="60" w:before="0" w:lineRule="auto"/>
        <w:rPr/>
      </w:pPr>
      <w:r w:rsidDel="00000000" w:rsidR="00000000" w:rsidRPr="00000000">
        <w:rPr>
          <w:rFonts w:ascii="Arial" w:cs="Arial" w:eastAsia="Arial" w:hAnsi="Arial"/>
          <w:b w:val="1"/>
          <w:bCs w:val="1"/>
          <w:color w:val="1a1a1a"/>
          <w:sz w:val="20"/>
          <w:szCs w:val="20"/>
          <w:rtl w:val="0"/>
        </w:rPr>
        <w:t xml:space="preserve">Remitente</w:t>
      </w:r>
      <w:r w:rsidDel="00000000" w:rsidR="00000000" w:rsidRPr="00000000">
        <w:rPr>
          <w:rtl w:val="0"/>
        </w:rPr>
      </w:r>
    </w:p>
    <w:p w:rsidR="00000000" w:rsidDel="00000000" w:rsidP="00000000" w:rsidRDefault="00000000" w:rsidRPr="00000000" w14:paraId="00000025">
      <w:pPr>
        <w:spacing w:after="40" w:before="0" w:lineRule="auto"/>
        <w:rPr/>
      </w:pPr>
      <w:r w:rsidDel="00000000" w:rsidR="00000000" w:rsidRPr="00000000">
        <w:rPr>
          <w:rFonts w:ascii="Arial" w:cs="Arial" w:eastAsia="Arial" w:hAnsi="Arial"/>
          <w:color w:val="555555"/>
          <w:sz w:val="20"/>
          <w:szCs w:val="20"/>
          <w:rtl w:val="0"/>
        </w:rPr>
        <w:t xml:space="preserve">Jhana — usuario en proceso de rehabilitación de epicondilitis medial</w:t>
      </w:r>
      <w:r w:rsidDel="00000000" w:rsidR="00000000" w:rsidRPr="00000000">
        <w:rPr>
          <w:rtl w:val="0"/>
        </w:rPr>
      </w:r>
    </w:p>
    <w:p w:rsidR="00000000" w:rsidDel="00000000" w:rsidP="00000000" w:rsidRDefault="00000000" w:rsidRPr="00000000" w14:paraId="00000026">
      <w:pPr>
        <w:spacing w:after="0" w:before="0" w:lineRule="auto"/>
        <w:rPr/>
      </w:pPr>
      <w:r w:rsidDel="00000000" w:rsidR="00000000" w:rsidRPr="00000000">
        <w:rPr>
          <w:rFonts w:ascii="Arial" w:cs="Arial" w:eastAsia="Arial" w:hAnsi="Arial"/>
          <w:i w:val="1"/>
          <w:iCs w:val="1"/>
          <w:color w:val="555555"/>
          <w:sz w:val="20"/>
          <w:szCs w:val="20"/>
          <w:rtl w:val="0"/>
        </w:rPr>
        <w:t xml:space="preserve">Retroalimentación generada a partir de seguimiento clínico documentado · Abril 2026</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pBdr>
        <w:top w:color="dddddd" w:space="6" w:sz="4" w:val="single"/>
      </w:pBdr>
      <w:spacing w:after="0" w:before="120" w:lineRule="auto"/>
      <w:jc w:val="right"/>
      <w:rPr/>
    </w:pPr>
    <w:r w:rsidDel="00000000" w:rsidR="00000000" w:rsidRPr="00000000">
      <w:rPr>
        <w:rFonts w:ascii="Arial" w:cs="Arial" w:eastAsia="Arial" w:hAnsi="Arial"/>
        <w:color w:val="555555"/>
        <w:sz w:val="18"/>
        <w:szCs w:val="18"/>
        <w:rtl w:val="0"/>
      </w:rPr>
      <w:t xml:space="preserve">Abril 2026  |  Página </w:t>
    </w:r>
    <w:r w:rsidDel="00000000" w:rsidR="00000000" w:rsidRPr="00000000">
      <w:rPr>
        <w:rFonts w:ascii="Arial" w:cs="Arial" w:eastAsia="Arial" w:hAnsi="Arial"/>
        <w:color w:val="555555"/>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pBdr>
        <w:bottom w:color="dddddd" w:space="6" w:sz="4" w:val="single"/>
      </w:pBdr>
      <w:spacing w:after="160" w:before="0" w:lineRule="auto"/>
      <w:rPr/>
    </w:pPr>
    <w:r w:rsidDel="00000000" w:rsidR="00000000" w:rsidRPr="00000000">
      <w:rPr>
        <w:rFonts w:ascii="Arial" w:cs="Arial" w:eastAsia="Arial" w:hAnsi="Arial"/>
        <w:i w:val="1"/>
        <w:iCs w:val="1"/>
        <w:color w:val="555555"/>
        <w:sz w:val="18"/>
        <w:szCs w:val="18"/>
        <w:rtl w:val="0"/>
      </w:rPr>
      <w:t xml:space="preserve">Retroalimentación para Health Companion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Arial" w:cs="Arial" w:eastAsia="Arial" w:hAnsi="Arial"/>
      <w:b w:val="1"/>
      <w:bCs w:val="1"/>
      <w:i w:val="0"/>
      <w:iCs w:val="0"/>
      <w:smallCaps w:val="0"/>
      <w:strike w:val="0"/>
      <w:color w:val="1f5c99"/>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1a1a1a"/>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