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a6b6b"/>
          <w:sz w:val="36"/>
          <w:szCs w:val="36"/>
          <w:rtl w:val="0"/>
        </w:rPr>
        <w:t xml:space="preserve">RETROALIMENTACIÓN PARA HEALTH COMPANION</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i w:val="1"/>
          <w:iCs w:val="1"/>
          <w:color w:val="444444"/>
          <w:sz w:val="24"/>
          <w:szCs w:val="24"/>
          <w:rtl w:val="0"/>
        </w:rPr>
        <w:t xml:space="preserve">Perspectiva de usuario activo de monitoreo longitudinal con IA</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Fonts w:ascii="Arial" w:cs="Arial" w:eastAsia="Arial" w:hAnsi="Arial"/>
          <w:color w:val="888888"/>
          <w:sz w:val="20"/>
          <w:szCs w:val="20"/>
          <w:rtl w:val="0"/>
        </w:rPr>
        <w:t xml:space="preserve">Hans Laut  ·  Abril 2026</w:t>
      </w:r>
      <w:r w:rsidDel="00000000" w:rsidR="00000000" w:rsidRPr="00000000">
        <w:rPr>
          <w:rtl w:val="0"/>
        </w:rPr>
      </w:r>
    </w:p>
    <w:p w:rsidR="00000000" w:rsidDel="00000000" w:rsidP="00000000" w:rsidRDefault="00000000" w:rsidRPr="00000000" w14:paraId="00000004">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05">
      <w:pPr>
        <w:pStyle w:val="Heading1"/>
        <w:spacing w:after="120" w:before="360" w:lineRule="auto"/>
        <w:rPr/>
      </w:pPr>
      <w:r w:rsidDel="00000000" w:rsidR="00000000" w:rsidRPr="00000000">
        <w:rPr>
          <w:rFonts w:ascii="Arial" w:cs="Arial" w:eastAsia="Arial" w:hAnsi="Arial"/>
          <w:b w:val="1"/>
          <w:bCs w:val="1"/>
          <w:color w:val="1a6b6b"/>
          <w:sz w:val="32"/>
          <w:szCs w:val="32"/>
          <w:rtl w:val="0"/>
        </w:rPr>
        <w:t xml:space="preserve">Contexto de esta retroalimentación</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color w:val="444444"/>
          <w:sz w:val="22"/>
          <w:szCs w:val="22"/>
          <w:rtl w:val="0"/>
        </w:rPr>
        <w:t xml:space="preserve">Esta retroalimentación no proviene de un ejercicio teórico. Proviene de semanas de uso activo de un sistema equivalente al que propone Health Companion, construido conversacionalmente con Claude para monitoreo longitudinal de salud preventiva. El sistema ha acumulado historial clínico, resultados de laboratorio, registro de actividad física diaria, stack de suplementación, y variables subjetivas de bienestar.</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444444"/>
          <w:sz w:val="22"/>
          <w:szCs w:val="22"/>
          <w:rtl w:val="0"/>
        </w:rPr>
        <w:t xml:space="preserve">Eso me convierte en exactamente el usuario que el producto está diseñando. Lo que sigue es lo que he aprendido desde adentro.</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Fonts w:ascii="Arial" w:cs="Arial" w:eastAsia="Arial" w:hAnsi="Arial"/>
          <w:b w:val="1"/>
          <w:bCs w:val="1"/>
          <w:color w:val="1a6b6b"/>
          <w:sz w:val="32"/>
          <w:szCs w:val="32"/>
          <w:rtl w:val="0"/>
        </w:rPr>
        <w:t xml:space="preserve">Lo que el concepto tiene bien — y por qué sé que funciona</w:t>
      </w:r>
      <w:r w:rsidDel="00000000" w:rsidR="00000000" w:rsidRPr="00000000">
        <w:rPr>
          <w:rtl w:val="0"/>
        </w:rPr>
      </w:r>
    </w:p>
    <w:p w:rsidR="00000000" w:rsidDel="00000000" w:rsidP="00000000" w:rsidRDefault="00000000" w:rsidRPr="00000000" w14:paraId="0000000B">
      <w:pPr>
        <w:pStyle w:val="Heading2"/>
        <w:spacing w:after="80" w:before="280" w:lineRule="auto"/>
        <w:rPr/>
      </w:pPr>
      <w:r w:rsidDel="00000000" w:rsidR="00000000" w:rsidRPr="00000000">
        <w:rPr>
          <w:rFonts w:ascii="Arial" w:cs="Arial" w:eastAsia="Arial" w:hAnsi="Arial"/>
          <w:b w:val="1"/>
          <w:bCs w:val="1"/>
          <w:color w:val="1a1a1a"/>
          <w:sz w:val="26"/>
          <w:szCs w:val="26"/>
          <w:rtl w:val="0"/>
        </w:rPr>
        <w:t xml:space="preserve">La memoria longitudinal no es una característica — es la característica</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color w:val="444444"/>
          <w:sz w:val="22"/>
          <w:szCs w:val="22"/>
          <w:rtl w:val="0"/>
        </w:rPr>
        <w:t xml:space="preserve">Lo que hace útil este tipo de acompañamiento no es responder preguntas aisladas, sino reconocer patrones a través del tiempo que el propio usuario no ve. En mi experiencia directa, el sistema ha conectado:</w:t>
      </w:r>
      <w:r w:rsidDel="00000000" w:rsidR="00000000" w:rsidRPr="00000000">
        <w:rPr>
          <w:rtl w:val="0"/>
        </w:rPr>
      </w:r>
    </w:p>
    <w:p w:rsidR="00000000" w:rsidDel="00000000" w:rsidP="00000000" w:rsidRDefault="00000000" w:rsidRPr="00000000" w14:paraId="0000000D">
      <w:pPr>
        <w:spacing w:after="36" w:before="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Eosinofilia persistente de tres años con secuela inmune de COVID largo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Testosterona libre baja con posible aromatización vinculada a composición corporal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Ausencia de cambio digestivo después de modificar el patrón alimentario, lo que reorienta la hipótesis causal</w:t>
      </w:r>
      <w:r w:rsidDel="00000000" w:rsidR="00000000" w:rsidRPr="00000000">
        <w:rPr>
          <w:rtl w:val="0"/>
        </w:rPr>
      </w:r>
    </w:p>
    <w:p w:rsidR="00000000" w:rsidDel="00000000" w:rsidP="00000000" w:rsidRDefault="00000000" w:rsidRPr="00000000" w14:paraId="00000011">
      <w:pPr>
        <w:spacing w:after="36" w:before="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color w:val="444444"/>
          <w:sz w:val="22"/>
          <w:szCs w:val="22"/>
          <w:rtl w:val="0"/>
        </w:rPr>
        <w:t xml:space="preserve">Esas son inferencias que ningún tracker frío de datos haría jamás. Eso es exactamente lo que el concepto promete, y es real y verificable.</w:t>
      </w:r>
      <w:r w:rsidDel="00000000" w:rsidR="00000000" w:rsidRPr="00000000">
        <w:rPr>
          <w:rtl w:val="0"/>
        </w:rPr>
      </w:r>
    </w:p>
    <w:p w:rsidR="00000000" w:rsidDel="00000000" w:rsidP="00000000" w:rsidRDefault="00000000" w:rsidRPr="00000000" w14:paraId="00000013">
      <w:pPr>
        <w:spacing w:after="60" w:before="0" w:lineRule="auto"/>
        <w:rPr/>
      </w:pPr>
      <w:r w:rsidDel="00000000" w:rsidR="00000000" w:rsidRPr="00000000">
        <w:rPr>
          <w:rtl w:val="0"/>
        </w:rPr>
      </w:r>
    </w:p>
    <w:p w:rsidR="00000000" w:rsidDel="00000000" w:rsidP="00000000" w:rsidRDefault="00000000" w:rsidRPr="00000000" w14:paraId="00000014">
      <w:pPr>
        <w:pStyle w:val="Heading2"/>
        <w:spacing w:after="80" w:before="280" w:lineRule="auto"/>
        <w:rPr/>
      </w:pPr>
      <w:r w:rsidDel="00000000" w:rsidR="00000000" w:rsidRPr="00000000">
        <w:rPr>
          <w:rFonts w:ascii="Arial" w:cs="Arial" w:eastAsia="Arial" w:hAnsi="Arial"/>
          <w:b w:val="1"/>
          <w:bCs w:val="1"/>
          <w:color w:val="1a1a1a"/>
          <w:sz w:val="26"/>
          <w:szCs w:val="26"/>
          <w:rtl w:val="0"/>
        </w:rPr>
        <w:t xml:space="preserve">El encuadre clínico es sólido y regulatoriamente defendible</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color w:val="444444"/>
          <w:sz w:val="22"/>
          <w:szCs w:val="22"/>
          <w:rtl w:val="0"/>
        </w:rPr>
        <w:t xml:space="preserve">La fórmula “educa → contextualiza → refiere” funciona. No diagnostica, no prescribe, pero sí orienta la conversación del usuario con su médico de forma mucho más informada y productiva. El riesgo no está en ese marco — está en su ejecución.</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tl w:val="0"/>
        </w:rPr>
      </w:r>
    </w:p>
    <w:p w:rsidR="00000000" w:rsidDel="00000000" w:rsidP="00000000" w:rsidRDefault="00000000" w:rsidRPr="00000000" w14:paraId="0000001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18">
      <w:pPr>
        <w:pStyle w:val="Heading1"/>
        <w:spacing w:after="120" w:before="360" w:lineRule="auto"/>
        <w:rPr/>
      </w:pPr>
      <w:r w:rsidDel="00000000" w:rsidR="00000000" w:rsidRPr="00000000">
        <w:rPr>
          <w:rFonts w:ascii="Arial" w:cs="Arial" w:eastAsia="Arial" w:hAnsi="Arial"/>
          <w:b w:val="1"/>
          <w:bCs w:val="1"/>
          <w:color w:val="1a6b6b"/>
          <w:sz w:val="32"/>
          <w:szCs w:val="32"/>
          <w:rtl w:val="0"/>
        </w:rPr>
        <w:t xml:space="preserve">Lo que el concepto no está viendo todavía</w:t>
      </w:r>
      <w:r w:rsidDel="00000000" w:rsidR="00000000" w:rsidRPr="00000000">
        <w:rPr>
          <w:rtl w:val="0"/>
        </w:rPr>
      </w:r>
    </w:p>
    <w:p w:rsidR="00000000" w:rsidDel="00000000" w:rsidP="00000000" w:rsidRDefault="00000000" w:rsidRPr="00000000" w14:paraId="00000019">
      <w:pPr>
        <w:pStyle w:val="Heading2"/>
        <w:spacing w:after="80" w:before="280" w:lineRule="auto"/>
        <w:rPr/>
      </w:pPr>
      <w:r w:rsidDel="00000000" w:rsidR="00000000" w:rsidRPr="00000000">
        <w:rPr>
          <w:rFonts w:ascii="Arial" w:cs="Arial" w:eastAsia="Arial" w:hAnsi="Arial"/>
          <w:b w:val="1"/>
          <w:bCs w:val="1"/>
          <w:color w:val="1a1a1a"/>
          <w:sz w:val="26"/>
          <w:szCs w:val="26"/>
          <w:rtl w:val="0"/>
        </w:rPr>
        <w:t xml:space="preserve">1. El problema no es la información — es la fricción de actuar sobre ella</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444444"/>
          <w:sz w:val="22"/>
          <w:szCs w:val="22"/>
          <w:rtl w:val="0"/>
        </w:rPr>
        <w:t xml:space="preserve">El concepto describe bien el problema de comprensión (lenguaje médico inaccesible) pero subestima el problema de ejecución. Laura entiende que necesita mamografía — y aun así no la agenda. El gap más costoso en salud preventiva no es cognitivo, es conductual.</w:t>
      </w:r>
      <w:r w:rsidDel="00000000" w:rsidR="00000000" w:rsidRPr="00000000">
        <w:rPr>
          <w:rtl w:val="0"/>
        </w:rPr>
      </w:r>
    </w:p>
    <w:p w:rsidR="00000000" w:rsidDel="00000000" w:rsidP="00000000" w:rsidRDefault="00000000" w:rsidRPr="00000000" w14:paraId="0000001B">
      <w:pPr>
        <w:spacing w:after="36" w:before="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444444"/>
          <w:sz w:val="22"/>
          <w:szCs w:val="22"/>
          <w:rtl w:val="0"/>
        </w:rPr>
        <w:t xml:space="preserve">Health Companion necesita un modelo de acompañamiento hacia la acción, no solo hacia la comprensión. En la práctica esto implica:</w:t>
      </w:r>
      <w:r w:rsidDel="00000000" w:rsidR="00000000" w:rsidRPr="00000000">
        <w:rPr>
          <w:rtl w:val="0"/>
        </w:rPr>
      </w:r>
    </w:p>
    <w:p w:rsidR="00000000" w:rsidDel="00000000" w:rsidP="00000000" w:rsidRDefault="00000000" w:rsidRPr="00000000" w14:paraId="0000001D">
      <w:pPr>
        <w:spacing w:after="36" w:before="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Recordatorios con contexto emocional, no solo fechas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Seguimiento activo de si el estudio pendiente se realizó</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Celebración real de avances — no notificaciones genéricas</w:t>
      </w:r>
      <w:r w:rsidDel="00000000" w:rsidR="00000000" w:rsidRPr="00000000">
        <w:rPr>
          <w:rtl w:val="0"/>
        </w:rPr>
      </w:r>
    </w:p>
    <w:p w:rsidR="00000000" w:rsidDel="00000000" w:rsidP="00000000" w:rsidRDefault="00000000" w:rsidRPr="00000000" w14:paraId="00000021">
      <w:pPr>
        <w:spacing w:after="60" w:before="0" w:lineRule="auto"/>
        <w:rPr/>
      </w:pPr>
      <w:r w:rsidDel="00000000" w:rsidR="00000000" w:rsidRPr="00000000">
        <w:rPr>
          <w:rtl w:val="0"/>
        </w:rPr>
      </w:r>
    </w:p>
    <w:p w:rsidR="00000000" w:rsidDel="00000000" w:rsidP="00000000" w:rsidRDefault="00000000" w:rsidRPr="00000000" w14:paraId="00000022">
      <w:pPr>
        <w:pStyle w:val="Heading2"/>
        <w:spacing w:after="80" w:before="280" w:lineRule="auto"/>
        <w:rPr/>
      </w:pPr>
      <w:r w:rsidDel="00000000" w:rsidR="00000000" w:rsidRPr="00000000">
        <w:rPr>
          <w:rFonts w:ascii="Arial" w:cs="Arial" w:eastAsia="Arial" w:hAnsi="Arial"/>
          <w:b w:val="1"/>
          <w:bCs w:val="1"/>
          <w:color w:val="1a1a1a"/>
          <w:sz w:val="26"/>
          <w:szCs w:val="26"/>
          <w:rtl w:val="0"/>
        </w:rPr>
        <w:t xml:space="preserve">2. El usuario de alto valor no es Laura — y eso importa para el modelo de negocio</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color w:val="444444"/>
          <w:sz w:val="22"/>
          <w:szCs w:val="22"/>
          <w:rtl w:val="0"/>
        </w:rPr>
        <w:t xml:space="preserve">El caso Laura es correcto para mercado masivo. Pero existe un segmento de usuario — profesionista de 45–60 años, atleta recreativo, con interés activo en longevidad — que ya está gastando en optimización de salud, tolera complejidad técnica, y pagaría significativamente más por un acompañante que opere a ese nivel de sofisticación.</w:t>
      </w:r>
      <w:r w:rsidDel="00000000" w:rsidR="00000000" w:rsidRPr="00000000">
        <w:rPr>
          <w:rtl w:val="0"/>
        </w:rPr>
      </w:r>
    </w:p>
    <w:p w:rsidR="00000000" w:rsidDel="00000000" w:rsidP="00000000" w:rsidRDefault="00000000" w:rsidRPr="00000000" w14:paraId="00000024">
      <w:pPr>
        <w:spacing w:after="36" w:before="0" w:lineRule="auto"/>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color w:val="444444"/>
          <w:sz w:val="22"/>
          <w:szCs w:val="22"/>
          <w:rtl w:val="0"/>
        </w:rPr>
        <w:t xml:space="preserve">Ese usuario no necesita que le expliquen qué es la glucosa — necesita que alguien conecte su ApoB ascendente con su composición corporal y su patrón de entrenamiento. Ese segmento justifica un tier premium con profundidad clínica mayor, y probablemente es el que financia el desarrollo mientras se escala el producto masivo.</w:t>
      </w:r>
      <w:r w:rsidDel="00000000" w:rsidR="00000000" w:rsidRPr="00000000">
        <w:rPr>
          <w:rtl w:val="0"/>
        </w:rPr>
      </w:r>
    </w:p>
    <w:p w:rsidR="00000000" w:rsidDel="00000000" w:rsidP="00000000" w:rsidRDefault="00000000" w:rsidRPr="00000000" w14:paraId="00000026">
      <w:pPr>
        <w:spacing w:after="60" w:before="0" w:lineRule="auto"/>
        <w:rPr/>
      </w:pPr>
      <w:r w:rsidDel="00000000" w:rsidR="00000000" w:rsidRPr="00000000">
        <w:rPr>
          <w:rtl w:val="0"/>
        </w:rPr>
      </w:r>
    </w:p>
    <w:p w:rsidR="00000000" w:rsidDel="00000000" w:rsidP="00000000" w:rsidRDefault="00000000" w:rsidRPr="00000000" w14:paraId="00000027">
      <w:pPr>
        <w:pStyle w:val="Heading2"/>
        <w:spacing w:after="80" w:before="280" w:lineRule="auto"/>
        <w:rPr/>
      </w:pPr>
      <w:r w:rsidDel="00000000" w:rsidR="00000000" w:rsidRPr="00000000">
        <w:rPr>
          <w:rFonts w:ascii="Arial" w:cs="Arial" w:eastAsia="Arial" w:hAnsi="Arial"/>
          <w:b w:val="1"/>
          <w:bCs w:val="1"/>
          <w:color w:val="1a1a1a"/>
          <w:sz w:val="26"/>
          <w:szCs w:val="26"/>
          <w:rtl w:val="0"/>
        </w:rPr>
        <w:t xml:space="preserve">3. La memoria longitudinal tiene un problema de arquitectura no mencionado</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color w:val="444444"/>
          <w:sz w:val="22"/>
          <w:szCs w:val="22"/>
          <w:rtl w:val="0"/>
        </w:rPr>
        <w:t xml:space="preserve">La pregunta crítica: ¿qué pasa cuando el usuario cambia de dispositivo, de plan, o no abre la app por tres meses?</w:t>
      </w:r>
      <w:r w:rsidDel="00000000" w:rsidR="00000000" w:rsidRPr="00000000">
        <w:rPr>
          <w:rtl w:val="0"/>
        </w:rPr>
      </w:r>
    </w:p>
    <w:p w:rsidR="00000000" w:rsidDel="00000000" w:rsidP="00000000" w:rsidRDefault="00000000" w:rsidRPr="00000000" w14:paraId="00000029">
      <w:pPr>
        <w:spacing w:after="36" w:before="0" w:lineRule="auto"/>
        <w:rPr/>
      </w:pP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444444"/>
          <w:sz w:val="22"/>
          <w:szCs w:val="22"/>
          <w:rtl w:val="0"/>
        </w:rPr>
        <w:t xml:space="preserve">La memoria que hace útil al sistema es frágil si no tiene un modelo de persistencia robusto y un protocolo de reactivación inteligente. En mi experiencia actual, las fichas de contexto que cargo manualmente al inicio de cada sesión son el workaround para este problema — pero eso no es escalable para el usuario promedio. Este es probablemente el reto técnico más subestimado del concepto.</w:t>
      </w:r>
      <w:r w:rsidDel="00000000" w:rsidR="00000000" w:rsidRPr="00000000">
        <w:rPr>
          <w:rtl w:val="0"/>
        </w:rPr>
      </w:r>
    </w:p>
    <w:p w:rsidR="00000000" w:rsidDel="00000000" w:rsidP="00000000" w:rsidRDefault="00000000" w:rsidRPr="00000000" w14:paraId="0000002B">
      <w:pPr>
        <w:spacing w:after="60" w:before="0" w:lineRule="auto"/>
        <w:rPr/>
      </w:pPr>
      <w:r w:rsidDel="00000000" w:rsidR="00000000" w:rsidRPr="00000000">
        <w:rPr>
          <w:rtl w:val="0"/>
        </w:rPr>
      </w:r>
    </w:p>
    <w:p w:rsidR="00000000" w:rsidDel="00000000" w:rsidP="00000000" w:rsidRDefault="00000000" w:rsidRPr="00000000" w14:paraId="0000002C">
      <w:pPr>
        <w:pStyle w:val="Heading2"/>
        <w:spacing w:after="80" w:before="280" w:lineRule="auto"/>
        <w:rPr/>
      </w:pPr>
      <w:r w:rsidDel="00000000" w:rsidR="00000000" w:rsidRPr="00000000">
        <w:rPr>
          <w:rFonts w:ascii="Arial" w:cs="Arial" w:eastAsia="Arial" w:hAnsi="Arial"/>
          <w:b w:val="1"/>
          <w:bCs w:val="1"/>
          <w:color w:val="1a1a1a"/>
          <w:sz w:val="26"/>
          <w:szCs w:val="26"/>
          <w:rtl w:val="0"/>
        </w:rPr>
        <w:t xml:space="preserve">4. El modelo “nunca diagnostica” necesita un protocolo de escalamiento explícito</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444444"/>
          <w:sz w:val="22"/>
          <w:szCs w:val="22"/>
          <w:rtl w:val="0"/>
        </w:rPr>
        <w:t xml:space="preserve">La fórmula funciona en el 90% de los casos. Pero ¿qué hace el sistema cuando detecta una señal que requiere atención urgente? ¿Cómo distingue entre “handla con tu médico en tu próxima cita” y “ve a urgencias hoy”?</w:t>
      </w:r>
      <w:r w:rsidDel="00000000" w:rsidR="00000000" w:rsidRPr="00000000">
        <w:rPr>
          <w:rtl w:val="0"/>
        </w:rPr>
      </w:r>
    </w:p>
    <w:p w:rsidR="00000000" w:rsidDel="00000000" w:rsidP="00000000" w:rsidRDefault="00000000" w:rsidRPr="00000000" w14:paraId="0000002E">
      <w:pPr>
        <w:spacing w:after="36" w:before="0" w:lineRule="auto"/>
        <w:rPr/>
      </w:pP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444444"/>
          <w:sz w:val="22"/>
          <w:szCs w:val="22"/>
          <w:rtl w:val="0"/>
        </w:rPr>
        <w:t xml:space="preserve">La ausencia de un protocolo claro de escalamiento es el punto donde la categorización como app de wellness se vuelve más vulnerable — tanto regulatoria como éticamente.</w:t>
      </w:r>
      <w:r w:rsidDel="00000000" w:rsidR="00000000" w:rsidRPr="00000000">
        <w:rPr>
          <w:rtl w:val="0"/>
        </w:rPr>
      </w:r>
    </w:p>
    <w:p w:rsidR="00000000" w:rsidDel="00000000" w:rsidP="00000000" w:rsidRDefault="00000000" w:rsidRPr="00000000" w14:paraId="00000030">
      <w:pPr>
        <w:spacing w:after="60" w:before="0" w:lineRule="auto"/>
        <w:rPr/>
      </w:pPr>
      <w:r w:rsidDel="00000000" w:rsidR="00000000" w:rsidRPr="00000000">
        <w:rPr>
          <w:rtl w:val="0"/>
        </w:rPr>
      </w:r>
    </w:p>
    <w:p w:rsidR="00000000" w:rsidDel="00000000" w:rsidP="00000000" w:rsidRDefault="00000000" w:rsidRPr="00000000" w14:paraId="00000031">
      <w:pPr>
        <w:pStyle w:val="Heading2"/>
        <w:spacing w:after="80" w:before="280" w:lineRule="auto"/>
        <w:rPr/>
      </w:pPr>
      <w:r w:rsidDel="00000000" w:rsidR="00000000" w:rsidRPr="00000000">
        <w:rPr>
          <w:rFonts w:ascii="Arial" w:cs="Arial" w:eastAsia="Arial" w:hAnsi="Arial"/>
          <w:b w:val="1"/>
          <w:bCs w:val="1"/>
          <w:color w:val="1a1a1a"/>
          <w:sz w:val="26"/>
          <w:szCs w:val="26"/>
          <w:rtl w:val="0"/>
        </w:rPr>
        <w:t xml:space="preserve">5. La privacidad de datos longitudinales es un riesgo existencial no mencionado</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color w:val="444444"/>
          <w:sz w:val="22"/>
          <w:szCs w:val="22"/>
          <w:rtl w:val="0"/>
        </w:rPr>
        <w:t xml:space="preserve">Un sistema que acumula historial clínico, patrones de comportamiento, antecedentes familiares y resultados de laboratorio durante años es uno de los activos de datos más sensibles que existen. El concepto no menciona arquitectura de privacidad, propiedad del dato, ni qué pasa con esa información si la empresa cambia de dueño o modelo de negocio.</w:t>
      </w:r>
      <w:r w:rsidDel="00000000" w:rsidR="00000000" w:rsidRPr="00000000">
        <w:rPr>
          <w:rtl w:val="0"/>
        </w:rPr>
      </w:r>
    </w:p>
    <w:p w:rsidR="00000000" w:rsidDel="00000000" w:rsidP="00000000" w:rsidRDefault="00000000" w:rsidRPr="00000000" w14:paraId="00000033">
      <w:pPr>
        <w:spacing w:after="36" w:before="0" w:lineRule="auto"/>
        <w:rPr/>
      </w:pP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color w:val="444444"/>
          <w:sz w:val="22"/>
          <w:szCs w:val="22"/>
          <w:rtl w:val="0"/>
        </w:rPr>
        <w:t xml:space="preserve">Para el usuario sofisticado — y para cualquier regulador — esto no es un detalle técnico: es una condición de confianza.</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37">
      <w:pPr>
        <w:pStyle w:val="Heading1"/>
        <w:spacing w:after="120" w:before="360" w:lineRule="auto"/>
        <w:rPr/>
      </w:pPr>
      <w:r w:rsidDel="00000000" w:rsidR="00000000" w:rsidRPr="00000000">
        <w:rPr>
          <w:rFonts w:ascii="Arial" w:cs="Arial" w:eastAsia="Arial" w:hAnsi="Arial"/>
          <w:b w:val="1"/>
          <w:bCs w:val="1"/>
          <w:color w:val="1a6b6b"/>
          <w:sz w:val="32"/>
          <w:szCs w:val="32"/>
          <w:rtl w:val="0"/>
        </w:rPr>
        <w:t xml:space="preserve">Resumen ejecutivo: fortalezas y brechas</w:t>
      </w:r>
      <w:r w:rsidDel="00000000" w:rsidR="00000000" w:rsidRPr="00000000">
        <w:rPr>
          <w:rtl w:val="0"/>
        </w:rPr>
      </w:r>
    </w:p>
    <w:p w:rsidR="00000000" w:rsidDel="00000000" w:rsidP="00000000" w:rsidRDefault="00000000" w:rsidRPr="00000000" w14:paraId="00000038">
      <w:pPr>
        <w:spacing w:after="36"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6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Dimensión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6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Estado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6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Brecha identificada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444444"/>
                <w:sz w:val="20"/>
                <w:szCs w:val="20"/>
                <w:rtl w:val="0"/>
              </w:rPr>
              <w:t xml:space="preserve">Propuesta de 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444444"/>
                <w:sz w:val="20"/>
                <w:szCs w:val="20"/>
                <w:rtl w:val="0"/>
              </w:rPr>
              <w:t xml:space="preserve">Sólida y diferenciada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444444"/>
                <w:sz w:val="20"/>
                <w:szCs w:val="20"/>
                <w:rtl w:val="0"/>
              </w:rPr>
              <w:t xml:space="preserve">Ninguna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444444"/>
                <w:sz w:val="20"/>
                <w:szCs w:val="20"/>
                <w:rtl w:val="0"/>
              </w:rPr>
              <w:t xml:space="preserve">Memoria longitudinal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444444"/>
                <w:sz w:val="20"/>
                <w:szCs w:val="20"/>
                <w:rtl w:val="0"/>
              </w:rPr>
              <w:t xml:space="preserve">Correctamente central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444444"/>
                <w:sz w:val="20"/>
                <w:szCs w:val="20"/>
                <w:rtl w:val="0"/>
              </w:rPr>
              <w:t xml:space="preserve">Arquitectura de persistencia no resuelta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444444"/>
                <w:sz w:val="20"/>
                <w:szCs w:val="20"/>
                <w:rtl w:val="0"/>
              </w:rPr>
              <w:t xml:space="preserve">Modelo conductual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444444"/>
                <w:sz w:val="20"/>
                <w:szCs w:val="20"/>
                <w:rtl w:val="0"/>
              </w:rPr>
              <w:t xml:space="preserve">Ausente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444444"/>
                <w:sz w:val="20"/>
                <w:szCs w:val="20"/>
                <w:rtl w:val="0"/>
              </w:rPr>
              <w:t xml:space="preserve">Fricción de acción, no solo comprensión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444444"/>
                <w:sz w:val="20"/>
                <w:szCs w:val="20"/>
                <w:rtl w:val="0"/>
              </w:rPr>
              <w:t xml:space="preserve">Segmentación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444444"/>
                <w:sz w:val="20"/>
                <w:szCs w:val="20"/>
                <w:rtl w:val="0"/>
              </w:rPr>
              <w:t xml:space="preserve">Solo mercado masivo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444444"/>
                <w:sz w:val="20"/>
                <w:szCs w:val="20"/>
                <w:rtl w:val="0"/>
              </w:rPr>
              <w:t xml:space="preserve">Tier premium de longevidad sin diseñar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444444"/>
                <w:sz w:val="20"/>
                <w:szCs w:val="20"/>
                <w:rtl w:val="0"/>
              </w:rPr>
              <w:t xml:space="preserve">Escalamiento clínico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444444"/>
                <w:sz w:val="20"/>
                <w:szCs w:val="20"/>
                <w:rtl w:val="0"/>
              </w:rPr>
              <w:t xml:space="preserve">No definido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444444"/>
                <w:sz w:val="20"/>
                <w:szCs w:val="20"/>
                <w:rtl w:val="0"/>
              </w:rPr>
              <w:t xml:space="preserve">Protocolo urgencia vs. seguimiento rutinario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444444"/>
                <w:sz w:val="20"/>
                <w:szCs w:val="20"/>
                <w:rtl w:val="0"/>
              </w:rPr>
              <w:t xml:space="preserve">Privacidad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444444"/>
                <w:sz w:val="20"/>
                <w:szCs w:val="20"/>
                <w:rtl w:val="0"/>
              </w:rPr>
              <w:t xml:space="preserve">No mencionada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444444"/>
                <w:sz w:val="20"/>
                <w:szCs w:val="20"/>
                <w:rtl w:val="0"/>
              </w:rPr>
              <w:t xml:space="preserve">Condición de confianza para usuario sofisticado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444444"/>
                <w:sz w:val="20"/>
                <w:szCs w:val="20"/>
                <w:rtl w:val="0"/>
              </w:rPr>
              <w:t xml:space="preserve">Modelo de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444444"/>
                <w:sz w:val="20"/>
                <w:szCs w:val="20"/>
                <w:rtl w:val="0"/>
              </w:rPr>
              <w:t xml:space="preserve">Ambiguo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444444"/>
                <w:sz w:val="20"/>
                <w:szCs w:val="20"/>
                <w:rtl w:val="0"/>
              </w:rPr>
              <w:t xml:space="preserve">B2C vs B2B2C define quién paga y a quién pertenece la memoria</w:t>
            </w:r>
            <w:r w:rsidDel="00000000" w:rsidR="00000000" w:rsidRPr="00000000">
              <w:rPr>
                <w:rtl w:val="0"/>
              </w:rPr>
            </w:r>
          </w:p>
        </w:tc>
      </w:tr>
    </w:tbl>
    <w:p w:rsidR="00000000" w:rsidDel="00000000" w:rsidP="00000000" w:rsidRDefault="00000000" w:rsidRPr="00000000" w14:paraId="00000051">
      <w:pPr>
        <w:spacing w:after="120" w:before="0" w:lineRule="auto"/>
        <w:rPr/>
      </w:pPr>
      <w:r w:rsidDel="00000000" w:rsidR="00000000" w:rsidRPr="00000000">
        <w:rPr>
          <w:rtl w:val="0"/>
        </w:rPr>
      </w:r>
    </w:p>
    <w:p w:rsidR="00000000" w:rsidDel="00000000" w:rsidP="00000000" w:rsidRDefault="00000000" w:rsidRPr="00000000" w14:paraId="00000052">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6b" w:space="0" w:sz="12" w:val="single"/>
              <w:left w:color="cccccc" w:space="0" w:sz="4" w:val="single"/>
              <w:bottom w:color="cccccc" w:space="0" w:sz="4" w:val="single"/>
              <w:right w:color="cccccc" w:space="0" w:sz="4" w:val="single"/>
            </w:tcBorders>
            <w:shd w:fill="e8f4f4" w:val="clear"/>
            <w:tcMar>
              <w:top w:w="160.0" w:type="dxa"/>
              <w:left w:w="200.0" w:type="dxa"/>
              <w:bottom w:w="160.0" w:type="dxa"/>
              <w:right w:w="200.0" w:type="dxa"/>
            </w:tcMar>
          </w:tcPr>
          <w:p w:rsidR="00000000" w:rsidDel="00000000" w:rsidP="00000000" w:rsidRDefault="00000000" w:rsidRPr="00000000" w14:paraId="00000054">
            <w:pPr>
              <w:spacing w:after="60" w:before="0" w:lineRule="auto"/>
              <w:rPr/>
            </w:pPr>
            <w:r w:rsidDel="00000000" w:rsidR="00000000" w:rsidRPr="00000000">
              <w:rPr>
                <w:rFonts w:ascii="Arial" w:cs="Arial" w:eastAsia="Arial" w:hAnsi="Arial"/>
                <w:b w:val="1"/>
                <w:bCs w:val="1"/>
                <w:color w:val="1a6b6b"/>
                <w:sz w:val="22"/>
                <w:szCs w:val="22"/>
                <w:rtl w:val="0"/>
              </w:rPr>
              <w:t xml:space="preserve">La pregunta que el concepto debe responder antes del hackathon</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Arial" w:cs="Arial" w:eastAsia="Arial" w:hAnsi="Arial"/>
                <w:color w:val="444444"/>
                <w:sz w:val="22"/>
                <w:szCs w:val="22"/>
                <w:rtl w:val="0"/>
              </w:rPr>
              <w:t xml:space="preserve">¿El modelo de negocio es B2C directo, B2B2C a través de aseguradoras, o B2B a través de empleadores? La respuesta cambia radicalmente quién paga, qué incentivos tiene el producto, y a quién pertenece la memoria longitudinal del usuario. El concepto actual eváde esta pregunta — y es precisamente la que un jurado de Anthropic va a hacer primero.</w:t>
            </w:r>
            <w:r w:rsidDel="00000000" w:rsidR="00000000" w:rsidRPr="00000000">
              <w:rPr>
                <w:rtl w:val="0"/>
              </w:rPr>
            </w:r>
          </w:p>
        </w:tc>
      </w:tr>
    </w:tbl>
    <w:p w:rsidR="00000000" w:rsidDel="00000000" w:rsidP="00000000" w:rsidRDefault="00000000" w:rsidRPr="00000000" w14:paraId="00000056">
      <w:pPr>
        <w:spacing w:after="120" w:before="0" w:lineRule="auto"/>
        <w:rPr/>
      </w:pPr>
      <w:r w:rsidDel="00000000" w:rsidR="00000000" w:rsidRPr="00000000">
        <w:rPr>
          <w:rtl w:val="0"/>
        </w:rPr>
      </w:r>
    </w:p>
    <w:p w:rsidR="00000000" w:rsidDel="00000000" w:rsidP="00000000" w:rsidRDefault="00000000" w:rsidRPr="00000000" w14:paraId="0000005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58">
      <w:pPr>
        <w:pStyle w:val="Heading1"/>
        <w:spacing w:after="120" w:before="360" w:lineRule="auto"/>
        <w:rPr/>
      </w:pPr>
      <w:r w:rsidDel="00000000" w:rsidR="00000000" w:rsidRPr="00000000">
        <w:rPr>
          <w:rFonts w:ascii="Arial" w:cs="Arial" w:eastAsia="Arial" w:hAnsi="Arial"/>
          <w:b w:val="1"/>
          <w:bCs w:val="1"/>
          <w:color w:val="1a6b6b"/>
          <w:sz w:val="32"/>
          <w:szCs w:val="32"/>
          <w:rtl w:val="0"/>
        </w:rPr>
        <w:t xml:space="preserve">Veredicto</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color w:val="444444"/>
          <w:sz w:val="22"/>
          <w:szCs w:val="22"/>
          <w:rtl w:val="0"/>
        </w:rPr>
        <w:t xml:space="preserve">El concepto es sólido, el timing es correcto, y la propuesta de valor es real — no teórica. Los riesgos no están en la idea sino en la ejecución de memoria persistente, el protocolo de escalamiento clínico, y la claridad del modelo de negocio.</w:t>
      </w:r>
      <w:r w:rsidDel="00000000" w:rsidR="00000000" w:rsidRPr="00000000">
        <w:rPr>
          <w:rtl w:val="0"/>
        </w:rPr>
      </w:r>
    </w:p>
    <w:p w:rsidR="00000000" w:rsidDel="00000000" w:rsidP="00000000" w:rsidRDefault="00000000" w:rsidRPr="00000000" w14:paraId="0000005A">
      <w:pPr>
        <w:spacing w:after="36" w:before="0" w:lineRule="auto"/>
        <w:rPr/>
      </w:pP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color w:val="444444"/>
          <w:sz w:val="22"/>
          <w:szCs w:val="22"/>
          <w:rtl w:val="0"/>
        </w:rPr>
        <w:t xml:space="preserve">Si el domingo se presenta el caso Laura más un caso de usuario sofisticado de longevidad, hay dos segmentos con disposición a pagar muy diferente que hacen el modelo más robusto y el pitch más completo.</w:t>
      </w:r>
      <w:r w:rsidDel="00000000" w:rsidR="00000000" w:rsidRPr="00000000">
        <w:rPr>
          <w:rtl w:val="0"/>
        </w:rPr>
      </w:r>
    </w:p>
    <w:p w:rsidR="00000000" w:rsidDel="00000000" w:rsidP="00000000" w:rsidRDefault="00000000" w:rsidRPr="00000000" w14:paraId="0000005C">
      <w:pPr>
        <w:spacing w:after="120" w:before="0" w:lineRule="auto"/>
        <w:rPr/>
      </w:pPr>
      <w:r w:rsidDel="00000000" w:rsidR="00000000" w:rsidRPr="00000000">
        <w:rPr>
          <w:rtl w:val="0"/>
        </w:rPr>
      </w:r>
    </w:p>
    <w:p w:rsidR="00000000" w:rsidDel="00000000" w:rsidP="00000000" w:rsidRDefault="00000000" w:rsidRPr="00000000" w14:paraId="0000005D">
      <w:pPr>
        <w:pBdr>
          <w:top w:color="cccccc" w:space="1" w:sz="4" w:val="single"/>
        </w:pBdr>
        <w:spacing w:after="0" w:before="200" w:lineRule="auto"/>
        <w:rPr/>
      </w:pPr>
      <w:r w:rsidDel="00000000" w:rsidR="00000000" w:rsidRPr="00000000">
        <w:rPr>
          <w:rFonts w:ascii="Arial" w:cs="Arial" w:eastAsia="Arial" w:hAnsi="Arial"/>
          <w:i w:val="1"/>
          <w:iCs w:val="1"/>
          <w:color w:val="888888"/>
          <w:sz w:val="18"/>
          <w:szCs w:val="18"/>
          <w:rtl w:val="0"/>
        </w:rPr>
        <w:t xml:space="preserve">Hans Laut  ·  Retroalimentación Health Companion  ·  Abril 2026  ·  Generado con asistencia de Claude (Anthropic)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6b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