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Calibri" w:cs="Calibri" w:eastAsia="Calibri" w:hAnsi="Calibri"/>
          <w:b w:val="1"/>
          <w:bCs w:val="1"/>
          <w:color w:val="7f8c8d"/>
          <w:sz w:val="28"/>
          <w:szCs w:val="28"/>
          <w:rtl w:val="0"/>
        </w:rPr>
        <w:t xml:space="preserve">CASO DE ESTUDIO</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2c3e50"/>
          <w:sz w:val="48"/>
          <w:szCs w:val="48"/>
          <w:rtl w:val="0"/>
        </w:rPr>
        <w:t xml:space="preserve">Colaboración Garmin + Claude</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Calibri" w:cs="Calibri" w:eastAsia="Calibri" w:hAnsi="Calibri"/>
          <w:color w:val="34495e"/>
          <w:sz w:val="26"/>
          <w:szCs w:val="26"/>
          <w:rtl w:val="0"/>
        </w:rPr>
        <w:t xml:space="preserve">Gestión asistida por IA de una infección viral aguda y reingreso al ejercicio competitivo</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color w:val="34495e"/>
          <w:sz w:val="22"/>
          <w:szCs w:val="22"/>
          <w:rtl w:val="0"/>
        </w:rPr>
        <w:t xml:space="preserve">Sujeto: Hans Laut · 51 años · Atleta amateur competitivo</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Calibri" w:cs="Calibri" w:eastAsia="Calibri" w:hAnsi="Calibri"/>
          <w:color w:val="34495e"/>
          <w:sz w:val="22"/>
          <w:szCs w:val="22"/>
          <w:rtl w:val="0"/>
        </w:rPr>
        <w:t xml:space="preserve">Periodo: 13 al 25 de abril de 2026</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rFonts w:ascii="Calibri" w:cs="Calibri" w:eastAsia="Calibri" w:hAnsi="Calibri"/>
          <w:color w:val="34495e"/>
          <w:sz w:val="22"/>
          <w:szCs w:val="22"/>
          <w:rtl w:val="0"/>
        </w:rPr>
        <w:t xml:space="preserve">Elaborado: 22 de abril de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7f8c8d"/>
          <w:sz w:val="18"/>
          <w:szCs w:val="18"/>
          <w:rtl w:val="0"/>
        </w:rPr>
        <w:t xml:space="preserve">Documento generado mediante diálogo iterativo entre el sujeto y Claude (Anthropic), utilizando datos biométricos de un reloj Garmin como input objetivo principal.</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1. Resumen ejecutivo</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b w:val="0"/>
          <w:bCs w:val="0"/>
          <w:color w:val="000000"/>
          <w:sz w:val="22"/>
          <w:szCs w:val="22"/>
          <w:rtl w:val="0"/>
        </w:rPr>
        <w:t xml:space="preserve">Este documento describe un caso de uso real de colaboración entre un wearable de monitoreo continuo (Garmin </w:t>
      </w:r>
      <w:r w:rsidDel="00000000" w:rsidR="00000000" w:rsidRPr="00000000">
        <w:rPr>
          <w:rtl w:val="0"/>
        </w:rPr>
        <w:t xml:space="preserve">Enduro 2 </w:t>
      </w:r>
      <w:r w:rsidDel="00000000" w:rsidR="00000000" w:rsidRPr="00000000">
        <w:rPr>
          <w:rFonts w:ascii="Calibri" w:cs="Calibri" w:eastAsia="Calibri" w:hAnsi="Calibri"/>
          <w:b w:val="0"/>
          <w:bCs w:val="0"/>
          <w:color w:val="000000"/>
          <w:sz w:val="22"/>
          <w:szCs w:val="22"/>
          <w:rtl w:val="0"/>
        </w:rPr>
        <w:t xml:space="preserve">con métricas de variabilidad cardiaca, frecuencia cardiaca nocturna, frecuencia respiratoria, sleep score y nivel de estrés) y un asistente de inteligencia artificial conversacional (Claude, de Anthropic) para gestionar en tiempo real una infección viral aguda en un atleta amateur de 51 años, con el objetivo operativo de proteger un partido competitivo de torneo de eliminación programado para el día 10 desde inicio de síntomas.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b w:val="0"/>
          <w:bCs w:val="0"/>
          <w:color w:val="000000"/>
          <w:sz w:val="22"/>
          <w:szCs w:val="22"/>
          <w:rtl w:val="0"/>
        </w:rPr>
        <w:t xml:space="preserve">La interacción se desarrolló durante seis días consecutivos (19 al 22 de abril de 2026) mediante diálogo iterativo. El sujeto reportó síntomas, hallazgos subjetivos y datos del watch en formato natural. La IA realizó inferencia diagnóstica probabilística, propuso protocolos de manejo, ajustó recomendaciones en tiempo real conforme llegaban nuevos datos, y elaboró un plan de reingreso escalonado al ejercicio competitivo.</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b w:val="0"/>
          <w:bCs w:val="0"/>
          <w:color w:val="000000"/>
          <w:sz w:val="22"/>
          <w:szCs w:val="22"/>
          <w:rtl w:val="0"/>
        </w:rPr>
        <w:t xml:space="preserve">Resultados al cierre del documento (día 7 desde síntomas):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Resolución funcional clínica completa.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Marcadores autonómicos en 80–87% del baseline personal pre-infección.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reingreso escalonado en ejecución, con criterios objetivos diarios para autorizar progresión.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Decisión bien fundamentada de cancelar un partido recurrente para proteger un partido eliminatorio cuatro días después.</w:t>
      </w:r>
    </w:p>
    <w:p w:rsidR="00000000" w:rsidDel="00000000" w:rsidP="00000000" w:rsidRDefault="00000000" w:rsidRPr="00000000" w14:paraId="00000011">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2. Perfil del sujeto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color w:val="ffffff"/>
                <w:sz w:val="20"/>
                <w:szCs w:val="20"/>
                <w:rtl w:val="0"/>
              </w:rPr>
              <w:t xml:space="preserve">Valor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color w:val="000000"/>
                <w:sz w:val="20"/>
                <w:szCs w:val="20"/>
                <w:rtl w:val="0"/>
              </w:rPr>
              <w:t xml:space="preserve">Edad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color w:val="000000"/>
                <w:sz w:val="20"/>
                <w:szCs w:val="20"/>
                <w:rtl w:val="0"/>
              </w:rPr>
              <w:t xml:space="preserve">51 años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color w:val="000000"/>
                <w:sz w:val="20"/>
                <w:szCs w:val="20"/>
                <w:rtl w:val="0"/>
              </w:rPr>
              <w:t xml:space="preserve">Sexo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color w:val="000000"/>
                <w:sz w:val="20"/>
                <w:szCs w:val="20"/>
                <w:rtl w:val="0"/>
              </w:rPr>
              <w:t xml:space="preserve">Masculino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color w:val="000000"/>
                <w:sz w:val="20"/>
                <w:szCs w:val="20"/>
                <w:rtl w:val="0"/>
              </w:rPr>
              <w:t xml:space="preserve">Talla / Peso / IMC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color w:val="000000"/>
                <w:sz w:val="20"/>
                <w:szCs w:val="20"/>
                <w:rtl w:val="0"/>
              </w:rPr>
              <w:t xml:space="preserve">171.5 cm · 66.2 kg · 22.6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color w:val="000000"/>
                <w:sz w:val="20"/>
                <w:szCs w:val="20"/>
                <w:rtl w:val="0"/>
              </w:rPr>
              <w:t xml:space="preserve">VO2 máx (Garmin)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0"/>
                <w:bCs w:val="0"/>
                <w:color w:val="000000"/>
                <w:sz w:val="20"/>
                <w:szCs w:val="20"/>
                <w:rtl w:val="0"/>
              </w:rPr>
              <w:t xml:space="preserve">56 ml/kg/min (top 10–15 percentil para edad)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color w:val="000000"/>
                <w:sz w:val="20"/>
                <w:szCs w:val="20"/>
                <w:rtl w:val="0"/>
              </w:rPr>
              <w:t xml:space="preserve">FTP ciclismo (Garmin)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0"/>
                <w:bCs w:val="0"/>
                <w:color w:val="000000"/>
                <w:sz w:val="20"/>
                <w:szCs w:val="20"/>
                <w:rtl w:val="0"/>
              </w:rPr>
              <w:t xml:space="preserve">222 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color w:val="000000"/>
                <w:sz w:val="20"/>
                <w:szCs w:val="20"/>
                <w:rtl w:val="0"/>
              </w:rPr>
              <w:t xml:space="preserve">HRV baseline personal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b w:val="0"/>
                <w:bCs w:val="0"/>
                <w:color w:val="000000"/>
                <w:sz w:val="20"/>
                <w:szCs w:val="20"/>
                <w:rtl w:val="0"/>
              </w:rPr>
              <w:t xml:space="preserve">40 ms sleep / 40 ms awake (banda 39–47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b w:val="0"/>
                <w:bCs w:val="0"/>
                <w:color w:val="000000"/>
                <w:sz w:val="20"/>
                <w:szCs w:val="20"/>
                <w:rtl w:val="0"/>
              </w:rPr>
              <w:t xml:space="preserve">FC nocturna basal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b w:val="0"/>
                <w:bCs w:val="0"/>
                <w:color w:val="000000"/>
                <w:sz w:val="20"/>
                <w:szCs w:val="20"/>
                <w:rtl w:val="0"/>
              </w:rPr>
              <w:t xml:space="preserve">~50–52 lpm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Calibri" w:cs="Calibri" w:eastAsia="Calibri" w:hAnsi="Calibri"/>
                <w:b w:val="0"/>
                <w:bCs w:val="0"/>
                <w:color w:val="000000"/>
                <w:sz w:val="20"/>
                <w:szCs w:val="20"/>
                <w:rtl w:val="0"/>
              </w:rPr>
              <w:t xml:space="preserve">Frecuencia respiratoria basal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b w:val="0"/>
                <w:bCs w:val="0"/>
                <w:color w:val="000000"/>
                <w:sz w:val="20"/>
                <w:szCs w:val="20"/>
                <w:rtl w:val="0"/>
              </w:rPr>
              <w:t xml:space="preserve">~14–15 rpm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Calibri" w:cs="Calibri" w:eastAsia="Calibri" w:hAnsi="Calibri"/>
                <w:b w:val="0"/>
                <w:bCs w:val="0"/>
                <w:color w:val="000000"/>
                <w:sz w:val="20"/>
                <w:szCs w:val="20"/>
                <w:rtl w:val="0"/>
              </w:rPr>
              <w:t xml:space="preserve">Antecedentes relevantes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color w:val="000000"/>
                <w:sz w:val="20"/>
                <w:szCs w:val="20"/>
                <w:rtl w:val="0"/>
              </w:rPr>
              <w:t xml:space="preserve">COVID largo 2021–2022 (resuelto); CAC score 12 (placa incipiente); antecedente paterno cardiovascular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color w:val="000000"/>
                <w:sz w:val="20"/>
                <w:szCs w:val="20"/>
                <w:rtl w:val="0"/>
              </w:rPr>
              <w:t xml:space="preserve">Práctica deportiva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Calibri" w:cs="Calibri" w:eastAsia="Calibri" w:hAnsi="Calibri"/>
                <w:b w:val="0"/>
                <w:bCs w:val="0"/>
                <w:color w:val="000000"/>
                <w:sz w:val="20"/>
                <w:szCs w:val="20"/>
                <w:rtl w:val="0"/>
              </w:rPr>
              <w:t xml:space="preserve">Tenis competitivo nivel club; ciclismo; trail running; entrenador certificado</w:t>
            </w:r>
            <w:r w:rsidDel="00000000" w:rsidR="00000000" w:rsidRPr="00000000">
              <w:rPr>
                <w:rtl w:val="0"/>
              </w:rPr>
            </w:r>
          </w:p>
        </w:tc>
      </w:tr>
    </w:tbl>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3. Metodología de la colaboración</w:t>
      </w:r>
      <w:r w:rsidDel="00000000" w:rsidR="00000000" w:rsidRPr="00000000">
        <w:rPr>
          <w:rtl w:val="0"/>
        </w:rPr>
      </w:r>
    </w:p>
    <w:p w:rsidR="00000000" w:rsidDel="00000000" w:rsidP="00000000" w:rsidRDefault="00000000" w:rsidRPr="00000000" w14:paraId="0000002A">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3.1 Roles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Sujeto: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reportes verbales de síntomas, contexto, sueño y energía. Capturas de pantalla del Garmin enviadas como imágenes.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Garmin </w:t>
      </w:r>
      <w:r w:rsidDel="00000000" w:rsidR="00000000" w:rsidRPr="00000000">
        <w:rPr>
          <w:b w:val="1"/>
          <w:bCs w:val="1"/>
          <w:rtl w:val="0"/>
        </w:rPr>
        <w:t xml:space="preserve">Enduro 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de datos objetivos continuos (HRV nocturna, HR nocturna, FR nocturna, sleep score, sleep stages, stress level, body battery).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Claude (Anthropic):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interpretación clínica probabilística, integración de datos objetivos y subjetivos, generación de protocolos, ajustes en tiempo real, comunicación de incertidumbre.</w:t>
      </w:r>
    </w:p>
    <w:p w:rsidR="00000000" w:rsidDel="00000000" w:rsidP="00000000" w:rsidRDefault="00000000" w:rsidRPr="00000000" w14:paraId="0000002E">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3.2 Cadencia de la interacción</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b w:val="0"/>
          <w:bCs w:val="0"/>
          <w:color w:val="000000"/>
          <w:sz w:val="22"/>
          <w:szCs w:val="22"/>
          <w:rtl w:val="0"/>
        </w:rPr>
        <w:t xml:space="preserve">Reporte matutino diario al despertar, con HRV nocturna, calidad de sueño, síntomas residuales, energía subjetiva (escala 1–10) y eventos GI o respiratorios relevantes. Consultas puntuales a lo largo del día para decisiones específicas (vapor, baño caliente, cambios al plan de actividad).</w:t>
      </w:r>
      <w:r w:rsidDel="00000000" w:rsidR="00000000" w:rsidRPr="00000000">
        <w:rPr>
          <w:rtl w:val="0"/>
        </w:rPr>
      </w:r>
    </w:p>
    <w:p w:rsidR="00000000" w:rsidDel="00000000" w:rsidP="00000000" w:rsidRDefault="00000000" w:rsidRPr="00000000" w14:paraId="00000030">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3.3 Restricciones operativas declaradas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IA no sustituye valoración médica.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inferencia diagnóstica fue probabilística y comunicada con niveles de confianza explícitos.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Cualquier señal de alarma activaba protocolo de derivación a consulta presencial.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identidad viral específica nunca se confirmó por panel viral; rinovirus es la hipótesis con mayor probabilidad por perfil clínico.</w:t>
      </w:r>
    </w:p>
    <w:p w:rsidR="00000000" w:rsidDel="00000000" w:rsidP="00000000" w:rsidRDefault="00000000" w:rsidRPr="00000000" w14:paraId="00000035">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4. Cronología consolidada del episodio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00"/>
        <w:gridCol w:w="4560"/>
        <w:gridCol w:w="3000"/>
        <w:tblGridChange w:id="0">
          <w:tblGrid>
            <w:gridCol w:w="1200"/>
            <w:gridCol w:w="600"/>
            <w:gridCol w:w="4560"/>
            <w:gridCol w:w="3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Calibri" w:cs="Calibri" w:eastAsia="Calibri" w:hAnsi="Calibri"/>
                <w:b w:val="1"/>
                <w:bCs w:val="1"/>
                <w:color w:val="ffffff"/>
                <w:sz w:val="20"/>
                <w:szCs w:val="20"/>
                <w:rtl w:val="0"/>
              </w:rPr>
              <w:t xml:space="preserve">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ffffff"/>
                <w:sz w:val="20"/>
                <w:szCs w:val="20"/>
                <w:rtl w:val="0"/>
              </w:rPr>
              <w:t xml:space="preserve">Evento clínico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1"/>
                <w:bCs w:val="1"/>
                <w:color w:val="ffffff"/>
                <w:sz w:val="20"/>
                <w:szCs w:val="20"/>
                <w:rtl w:val="0"/>
              </w:rPr>
              <w:t xml:space="preserve">Marcador objetivo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color w:val="000000"/>
                <w:sz w:val="20"/>
                <w:szCs w:val="20"/>
                <w:rtl w:val="0"/>
              </w:rPr>
              <w:t xml:space="preserve">Lun 13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color w:val="000000"/>
                <w:sz w:val="20"/>
                <w:szCs w:val="20"/>
                <w:rtl w:val="0"/>
              </w:rPr>
              <w:t xml:space="preserve">Exposición inferida (más probable)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color w:val="000000"/>
                <w:sz w:val="20"/>
                <w:szCs w:val="20"/>
                <w:rtl w:val="0"/>
              </w:rPr>
              <w:t xml:space="preserve">Mié 15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color w:val="000000"/>
                <w:sz w:val="20"/>
                <w:szCs w:val="20"/>
                <w:rtl w:val="0"/>
              </w:rPr>
              <w:t xml:space="preserve">Inicio respuesta autonómica subclínica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color w:val="000000"/>
                <w:sz w:val="20"/>
                <w:szCs w:val="20"/>
                <w:rtl w:val="0"/>
              </w:rPr>
              <w:t xml:space="preserve">HRV nocturna cae a ~33 ms desde basal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color w:val="000000"/>
                <w:sz w:val="20"/>
                <w:szCs w:val="20"/>
                <w:rtl w:val="0"/>
              </w:rPr>
              <w:t xml:space="preserve">Jue 16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color w:val="000000"/>
                <w:sz w:val="20"/>
                <w:szCs w:val="20"/>
                <w:rtl w:val="0"/>
              </w:rPr>
              <w:t xml:space="preserve">Primeros síntomas: picor garganta y ojos, mucosidad sutil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0"/>
                <w:bCs w:val="0"/>
                <w:color w:val="000000"/>
                <w:sz w:val="20"/>
                <w:szCs w:val="20"/>
                <w:rtl w:val="0"/>
              </w:rPr>
              <w:t xml:space="preserve">HRV 34 ms; FR sube a 17 rpm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color w:val="000000"/>
                <w:sz w:val="20"/>
                <w:szCs w:val="20"/>
                <w:rtl w:val="0"/>
              </w:rPr>
              <w:t xml:space="preserve">Vie 17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color w:val="000000"/>
                <w:sz w:val="20"/>
                <w:szCs w:val="20"/>
                <w:rtl w:val="0"/>
              </w:rPr>
              <w:t xml:space="preserve">Mucosidad franca + cefalea ligera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000000"/>
                <w:sz w:val="20"/>
                <w:szCs w:val="20"/>
                <w:rtl w:val="0"/>
              </w:rPr>
              <w:t xml:space="preserve">HRV 32 ms; HR nocturna &gt;60 lpm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b w:val="0"/>
                <w:bCs w:val="0"/>
                <w:color w:val="000000"/>
                <w:sz w:val="20"/>
                <w:szCs w:val="20"/>
                <w:rtl w:val="0"/>
              </w:rPr>
              <w:t xml:space="preserve">Sáb 18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color w:val="000000"/>
                <w:sz w:val="20"/>
                <w:szCs w:val="20"/>
                <w:rtl w:val="0"/>
              </w:rPr>
              <w:t xml:space="preserve">Partido competitivo ganado con esfuerzo; mal sueño previo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000000"/>
                <w:sz w:val="20"/>
                <w:szCs w:val="20"/>
                <w:rtl w:val="0"/>
              </w:rPr>
              <w:t xml:space="preserve">Nadir HRV 30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color w:val="000000"/>
                <w:sz w:val="20"/>
                <w:szCs w:val="20"/>
                <w:rtl w:val="0"/>
              </w:rPr>
              <w:t xml:space="preserve">Dom 19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color w:val="000000"/>
                <w:sz w:val="20"/>
                <w:szCs w:val="20"/>
                <w:rtl w:val="0"/>
              </w:rPr>
              <w:t xml:space="preserve">Pico secretor; tos productiva matutina incipiente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000000"/>
                <w:sz w:val="20"/>
                <w:szCs w:val="20"/>
                <w:rtl w:val="0"/>
              </w:rPr>
              <w:t xml:space="preserve">HRV 32 ms; sleep score bajo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color w:val="000000"/>
                <w:sz w:val="20"/>
                <w:szCs w:val="20"/>
                <w:rtl w:val="0"/>
              </w:rPr>
              <w:t xml:space="preserve">Lun 20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00000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color w:val="000000"/>
                <w:sz w:val="20"/>
                <w:szCs w:val="20"/>
                <w:rtl w:val="0"/>
              </w:rPr>
              <w:t xml:space="preserve">Inicio resolución; sueño restaurado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000000"/>
                <w:sz w:val="20"/>
                <w:szCs w:val="20"/>
                <w:rtl w:val="0"/>
              </w:rPr>
              <w:t xml:space="preserve">HRV 36 ms; sleep score 88 (pico semanal)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color w:val="000000"/>
                <w:sz w:val="20"/>
                <w:szCs w:val="20"/>
                <w:rtl w:val="0"/>
              </w:rPr>
              <w:t xml:space="preserve">Mar 21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color w:val="000000"/>
                <w:sz w:val="20"/>
                <w:szCs w:val="20"/>
                <w:rtl w:val="0"/>
              </w:rPr>
              <w:t xml:space="preserve">Mucosidad en descenso franco; episodio diarreico aislado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000000"/>
                <w:sz w:val="20"/>
                <w:szCs w:val="20"/>
                <w:rtl w:val="0"/>
              </w:rPr>
              <w:t xml:space="preserve">HRV 36 ms; FR normalizada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color w:val="000000"/>
                <w:sz w:val="20"/>
                <w:szCs w:val="20"/>
                <w:rtl w:val="0"/>
              </w:rPr>
              <w:t xml:space="preserve">Mié 22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00000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color w:val="000000"/>
                <w:sz w:val="20"/>
                <w:szCs w:val="20"/>
                <w:rtl w:val="0"/>
              </w:rPr>
              <w:t xml:space="preserve">Resolución funcional clínica completa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000000"/>
                <w:sz w:val="20"/>
                <w:szCs w:val="20"/>
                <w:rtl w:val="0"/>
              </w:rPr>
              <w:t xml:space="preserve">HRV sleep 32 / awake 35; HR nocturna 52 (basal); FR 15</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5. Inferencia diagnóstica</w:t>
      </w:r>
      <w:r w:rsidDel="00000000" w:rsidR="00000000" w:rsidRPr="00000000">
        <w:rPr>
          <w:rtl w:val="0"/>
        </w:rPr>
      </w:r>
    </w:p>
    <w:p w:rsidR="00000000" w:rsidDel="00000000" w:rsidP="00000000" w:rsidRDefault="00000000" w:rsidRPr="00000000" w14:paraId="00000060">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5.1 Hipótesis principal</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Calibri" w:cs="Calibri" w:eastAsia="Calibri" w:hAnsi="Calibri"/>
          <w:b w:val="0"/>
          <w:bCs w:val="0"/>
          <w:color w:val="000000"/>
          <w:sz w:val="22"/>
          <w:szCs w:val="22"/>
          <w:rtl w:val="0"/>
        </w:rPr>
        <w:t xml:space="preserve">Infección aguda por rinovirus superpuesta sobre rinitis alérgica estacional de base. Curso clínico benigno en resolución ordenada en 7–10 días.</w:t>
      </w:r>
      <w:r w:rsidDel="00000000" w:rsidR="00000000" w:rsidRPr="00000000">
        <w:rPr>
          <w:rtl w:val="0"/>
        </w:rPr>
      </w:r>
    </w:p>
    <w:p w:rsidR="00000000" w:rsidDel="00000000" w:rsidP="00000000" w:rsidRDefault="00000000" w:rsidRPr="00000000" w14:paraId="00000062">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5.2 Probabilidades por candidato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800"/>
        <w:gridCol w:w="4440"/>
        <w:tblGridChange w:id="0">
          <w:tblGrid>
            <w:gridCol w:w="3120"/>
            <w:gridCol w:w="1800"/>
            <w:gridCol w:w="44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Calibri" w:cs="Calibri" w:eastAsia="Calibri" w:hAnsi="Calibri"/>
                <w:b w:val="1"/>
                <w:bCs w:val="1"/>
                <w:color w:val="ffffff"/>
                <w:sz w:val="20"/>
                <w:szCs w:val="20"/>
                <w:rtl w:val="0"/>
              </w:rPr>
              <w:t xml:space="preserve">Candidato viral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Calibri" w:cs="Calibri" w:eastAsia="Calibri" w:hAnsi="Calibri"/>
                <w:b w:val="1"/>
                <w:bCs w:val="1"/>
                <w:color w:val="ffffff"/>
                <w:sz w:val="20"/>
                <w:szCs w:val="20"/>
                <w:rtl w:val="0"/>
              </w:rPr>
              <w:t xml:space="preserve">Probabilidad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Calibri" w:cs="Calibri" w:eastAsia="Calibri" w:hAnsi="Calibri"/>
                <w:b w:val="1"/>
                <w:bCs w:val="1"/>
                <w:color w:val="ffffff"/>
                <w:sz w:val="20"/>
                <w:szCs w:val="20"/>
                <w:rtl w:val="0"/>
              </w:rPr>
              <w:t xml:space="preserve">Razonamiento clave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color w:val="000000"/>
                <w:sz w:val="20"/>
                <w:szCs w:val="20"/>
                <w:rtl w:val="0"/>
              </w:rPr>
              <w:t xml:space="preserve">Rinovirus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000000"/>
                <w:sz w:val="20"/>
                <w:szCs w:val="20"/>
                <w:rtl w:val="0"/>
              </w:rPr>
              <w:t xml:space="preserve">65–75%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color w:val="000000"/>
                <w:sz w:val="20"/>
                <w:szCs w:val="20"/>
                <w:rtl w:val="0"/>
              </w:rPr>
              <w:t xml:space="preserve">Mucosidad dominante, sin fiebre, sin mialgias, progresión benigna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000000"/>
                <w:sz w:val="20"/>
                <w:szCs w:val="20"/>
                <w:rtl w:val="0"/>
              </w:rPr>
              <w:t xml:space="preserve">Coronavirus estacionales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0"/>
                <w:bCs w:val="0"/>
                <w:color w:val="000000"/>
                <w:sz w:val="20"/>
                <w:szCs w:val="20"/>
                <w:rtl w:val="0"/>
              </w:rPr>
              <w:t xml:space="preserve">12–18%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000000"/>
                <w:sz w:val="20"/>
                <w:szCs w:val="20"/>
                <w:rtl w:val="0"/>
              </w:rPr>
              <w:t xml:space="preserve">Compatible pero menos probable; clínicamente indistinguible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color w:val="000000"/>
                <w:sz w:val="20"/>
                <w:szCs w:val="20"/>
                <w:rtl w:val="0"/>
              </w:rPr>
              <w:t xml:space="preserve">SARS-CoV-2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000000"/>
                <w:sz w:val="20"/>
                <w:szCs w:val="20"/>
                <w:rtl w:val="0"/>
              </w:rPr>
              <w:t xml:space="preserve">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color w:val="000000"/>
                <w:sz w:val="20"/>
                <w:szCs w:val="20"/>
                <w:rtl w:val="0"/>
              </w:rPr>
              <w:t xml:space="preserve">No descartable sin prueba de antígeno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b w:val="0"/>
                <w:bCs w:val="0"/>
                <w:color w:val="000000"/>
                <w:sz w:val="20"/>
                <w:szCs w:val="20"/>
                <w:rtl w:val="0"/>
              </w:rPr>
              <w:t xml:space="preserve">Influenza 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Calibri" w:cs="Calibri" w:eastAsia="Calibri" w:hAnsi="Calibri"/>
                <w:b w:val="0"/>
                <w:bCs w:val="0"/>
                <w:color w:val="000000"/>
                <w:sz w:val="20"/>
                <w:szCs w:val="20"/>
                <w:rtl w:val="0"/>
              </w:rPr>
              <w:t xml:space="preserve">&lt;2%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color w:val="000000"/>
                <w:sz w:val="20"/>
                <w:szCs w:val="20"/>
                <w:rtl w:val="0"/>
              </w:rPr>
              <w:t xml:space="preserve">Descartado por ausencia de mialgias y fiebre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color w:val="000000"/>
                <w:sz w:val="20"/>
                <w:szCs w:val="20"/>
                <w:rtl w:val="0"/>
              </w:rPr>
              <w:t xml:space="preserve">Adenovirus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color w:val="000000"/>
                <w:sz w:val="20"/>
                <w:szCs w:val="2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color w:val="000000"/>
                <w:sz w:val="20"/>
                <w:szCs w:val="20"/>
                <w:rtl w:val="0"/>
              </w:rPr>
              <w:t xml:space="preserve">Sin conjuntivitis franca ni faringitis prominente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color w:val="000000"/>
                <w:sz w:val="20"/>
                <w:szCs w:val="20"/>
                <w:rtl w:val="0"/>
              </w:rPr>
              <w:t xml:space="preserve">Otros (VRS, parainfluenza)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color w:val="000000"/>
                <w:sz w:val="20"/>
                <w:szCs w:val="20"/>
                <w:rtl w:val="0"/>
              </w:rPr>
              <w:t xml:space="preserve">&lt;5%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color w:val="000000"/>
                <w:sz w:val="20"/>
                <w:szCs w:val="20"/>
                <w:rtl w:val="0"/>
              </w:rPr>
              <w:t xml:space="preserve">Perfil clínico no compatible</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5.3 Confianza diagnóstica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color w:val="ffffff"/>
                <w:sz w:val="20"/>
                <w:szCs w:val="20"/>
                <w:rtl w:val="0"/>
              </w:rPr>
              <w:t xml:space="preserve">Nivel de confianza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000000"/>
                <w:sz w:val="20"/>
                <w:szCs w:val="20"/>
                <w:rtl w:val="0"/>
              </w:rPr>
              <w:t xml:space="preserve">Existencia de evento infeccioso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color w:val="000000"/>
                <w:sz w:val="20"/>
                <w:szCs w:val="20"/>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color w:val="000000"/>
                <w:sz w:val="20"/>
                <w:szCs w:val="20"/>
                <w:rtl w:val="0"/>
              </w:rPr>
              <w:t xml:space="preserve">Identidad rinovirus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000000"/>
                <w:sz w:val="20"/>
                <w:szCs w:val="20"/>
                <w:rtl w:val="0"/>
              </w:rPr>
              <w:t xml:space="preserve">Media-alta (sin panel viral confirmatorio)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color w:val="000000"/>
                <w:sz w:val="20"/>
                <w:szCs w:val="20"/>
                <w:rtl w:val="0"/>
              </w:rPr>
              <w:t xml:space="preserve">Fecha de exposición (lun 13 abr ±48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color w:val="000000"/>
                <w:sz w:val="20"/>
                <w:szCs w:val="20"/>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000000"/>
                <w:sz w:val="20"/>
                <w:szCs w:val="20"/>
                <w:rtl w:val="0"/>
              </w:rPr>
              <w:t xml:space="preserve">Trayectoria de resolución favorable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color w:val="000000"/>
                <w:sz w:val="20"/>
                <w:szCs w:val="20"/>
                <w:rtl w:val="0"/>
              </w:rPr>
              <w:t xml:space="preserve">Alta</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6. Interpretación de datos objetivos del Garmin</w:t>
      </w:r>
      <w:r w:rsidDel="00000000" w:rsidR="00000000" w:rsidRPr="00000000">
        <w:rPr>
          <w:rtl w:val="0"/>
        </w:rPr>
      </w:r>
    </w:p>
    <w:p w:rsidR="00000000" w:rsidDel="00000000" w:rsidP="00000000" w:rsidRDefault="00000000" w:rsidRPr="00000000" w14:paraId="00000086">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6.1 HRV nocturna (Heart Rate Variability)</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Calibri" w:cs="Calibri" w:eastAsia="Calibri" w:hAnsi="Calibri"/>
          <w:b w:val="0"/>
          <w:bCs w:val="0"/>
          <w:color w:val="000000"/>
          <w:sz w:val="22"/>
          <w:szCs w:val="22"/>
          <w:rtl w:val="0"/>
        </w:rPr>
        <w:t xml:space="preserve">La HRV es el indicador más sensible para detectar el inicio de un proceso infeccioso, frecuentemente 24–72 horas antes de la aparición de síntomas clínicos. Sin embargo, su recuperación es más lenta que la de otros marcadores.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b w:val="1"/>
                <w:bCs w:val="1"/>
                <w:color w:val="ffffff"/>
                <w:sz w:val="20"/>
                <w:szCs w:val="20"/>
                <w:rtl w:val="0"/>
              </w:rPr>
              <w:t xml:space="preserve">Periodo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1"/>
                <w:bCs w:val="1"/>
                <w:color w:val="ffffff"/>
                <w:sz w:val="20"/>
                <w:szCs w:val="20"/>
                <w:rtl w:val="0"/>
              </w:rPr>
              <w:t xml:space="preserve">HRV Sleep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1"/>
                <w:bCs w:val="1"/>
                <w:color w:val="ffffff"/>
                <w:sz w:val="20"/>
                <w:szCs w:val="20"/>
                <w:rtl w:val="0"/>
              </w:rPr>
              <w:t xml:space="preserve">HRV Awake Avg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000000"/>
                <w:sz w:val="20"/>
                <w:szCs w:val="20"/>
                <w:rtl w:val="0"/>
              </w:rPr>
              <w:t xml:space="preserve">Semana basal (9–15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color w:val="000000"/>
                <w:sz w:val="20"/>
                <w:szCs w:val="20"/>
                <w:rtl w:val="0"/>
              </w:rPr>
              <w:t xml:space="preserve">40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b w:val="0"/>
                <w:bCs w:val="0"/>
                <w:color w:val="000000"/>
                <w:sz w:val="20"/>
                <w:szCs w:val="20"/>
                <w:rtl w:val="0"/>
              </w:rPr>
              <w:t xml:space="preserve">40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000000"/>
                <w:sz w:val="20"/>
                <w:szCs w:val="20"/>
                <w:rtl w:val="0"/>
              </w:rPr>
              <w:t xml:space="preserve">Semana viral (16–22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color w:val="000000"/>
                <w:sz w:val="20"/>
                <w:szCs w:val="20"/>
                <w:rtl w:val="0"/>
              </w:rPr>
              <w:t xml:space="preserve">32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color w:val="000000"/>
                <w:sz w:val="20"/>
                <w:szCs w:val="20"/>
                <w:rtl w:val="0"/>
              </w:rPr>
              <w:t xml:space="preserve">35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000000"/>
                <w:sz w:val="20"/>
                <w:szCs w:val="20"/>
                <w:rtl w:val="0"/>
              </w:rPr>
              <w:t xml:space="preserve">Magnitud de la caída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b w:val="0"/>
                <w:bCs w:val="0"/>
                <w:color w:val="000000"/>
                <w:sz w:val="20"/>
                <w:szCs w:val="20"/>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b w:val="0"/>
                <w:bCs w:val="0"/>
                <w:color w:val="000000"/>
                <w:sz w:val="20"/>
                <w:szCs w:val="20"/>
                <w:rtl w:val="0"/>
              </w:rPr>
              <w:t xml:space="preserve">−12.5%</w:t>
            </w:r>
            <w:r w:rsidDel="00000000" w:rsidR="00000000" w:rsidRPr="00000000">
              <w:rPr>
                <w:rtl w:val="0"/>
              </w:rPr>
            </w:r>
          </w:p>
        </w:tc>
      </w:tr>
    </w:tbl>
    <w:p w:rsidR="00000000" w:rsidDel="00000000" w:rsidP="00000000" w:rsidRDefault="00000000" w:rsidRPr="00000000" w14:paraId="00000094">
      <w:pPr>
        <w:spacing w:after="120" w:lineRule="auto"/>
        <w:rPr/>
      </w:pPr>
      <w:r w:rsidDel="00000000" w:rsidR="00000000" w:rsidRPr="00000000">
        <w:rPr>
          <w:rtl w:val="0"/>
        </w:rPr>
      </w:r>
    </w:p>
    <w:p w:rsidR="00000000" w:rsidDel="00000000" w:rsidP="00000000" w:rsidRDefault="00000000" w:rsidRPr="00000000" w14:paraId="00000095">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6.2 Frecuencia cardiaca nocturna</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Calibri" w:cs="Calibri" w:eastAsia="Calibri" w:hAnsi="Calibri"/>
          <w:b w:val="0"/>
          <w:bCs w:val="0"/>
          <w:color w:val="000000"/>
          <w:sz w:val="22"/>
          <w:szCs w:val="22"/>
          <w:rtl w:val="0"/>
        </w:rPr>
        <w:t xml:space="preserve">En este caso, la FC nocturna resultó ser el marcador más limpio de resolución viral. La elevación durante el pico (&gt;60 lpm vs. basal 50–52) y el retorno a basal el día 7 desde síntomas anticipó la normalización completa.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4000"/>
        <w:tblGridChange w:id="0">
          <w:tblGrid>
            <w:gridCol w:w="5360"/>
            <w:gridCol w:w="4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b w:val="1"/>
                <w:bCs w:val="1"/>
                <w:color w:val="ffffff"/>
                <w:sz w:val="20"/>
                <w:szCs w:val="20"/>
                <w:rtl w:val="0"/>
              </w:rPr>
              <w:t xml:space="preserve">Periodo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1"/>
                <w:bCs w:val="1"/>
                <w:color w:val="ffffff"/>
                <w:sz w:val="20"/>
                <w:szCs w:val="20"/>
                <w:rtl w:val="0"/>
              </w:rPr>
              <w:t xml:space="preserve">FC nocturna promedio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color w:val="000000"/>
                <w:sz w:val="20"/>
                <w:szCs w:val="20"/>
                <w:rtl w:val="0"/>
              </w:rPr>
              <w:t xml:space="preserve">Basal (semana previa)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000000"/>
                <w:sz w:val="20"/>
                <w:szCs w:val="20"/>
                <w:rtl w:val="0"/>
              </w:rPr>
              <w:t xml:space="preserve">50–52 lpm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Calibri" w:cs="Calibri" w:eastAsia="Calibri" w:hAnsi="Calibri"/>
                <w:b w:val="0"/>
                <w:bCs w:val="0"/>
                <w:color w:val="000000"/>
                <w:sz w:val="20"/>
                <w:szCs w:val="20"/>
                <w:rtl w:val="0"/>
              </w:rPr>
              <w:t xml:space="preserve">Pico viral (jue–vie)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color w:val="000000"/>
                <w:sz w:val="20"/>
                <w:szCs w:val="20"/>
                <w:rtl w:val="0"/>
              </w:rPr>
              <w:t xml:space="preserve">&gt;60 lpm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000000"/>
                <w:sz w:val="20"/>
                <w:szCs w:val="20"/>
                <w:rtl w:val="0"/>
              </w:rPr>
              <w:t xml:space="preserve">Día 7 desde síntomas (mié 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0"/>
                <w:bCs w:val="0"/>
                <w:color w:val="000000"/>
                <w:sz w:val="20"/>
                <w:szCs w:val="20"/>
                <w:rtl w:val="0"/>
              </w:rPr>
              <w:t xml:space="preserve">52 lpm (retorno a basal)</w:t>
            </w:r>
            <w:r w:rsidDel="00000000" w:rsidR="00000000" w:rsidRPr="00000000">
              <w:rPr>
                <w:rtl w:val="0"/>
              </w:rPr>
            </w:r>
          </w:p>
        </w:tc>
      </w:tr>
    </w:tbl>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6.3 Frecuencia respiratoria nocturna</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Calibri" w:cs="Calibri" w:eastAsia="Calibri" w:hAnsi="Calibri"/>
          <w:b w:val="0"/>
          <w:bCs w:val="0"/>
          <w:color w:val="000000"/>
          <w:sz w:val="22"/>
          <w:szCs w:val="22"/>
          <w:rtl w:val="0"/>
        </w:rPr>
        <w:t xml:space="preserve">Marcador inespecífico pero útil. Elevación moderada de 14–15 rpm basal a 17 rpm en pico viral, normalizada al día 7.</w:t>
      </w:r>
      <w:r w:rsidDel="00000000" w:rsidR="00000000" w:rsidRPr="00000000">
        <w:rPr>
          <w:rtl w:val="0"/>
        </w:rPr>
      </w:r>
    </w:p>
    <w:p w:rsidR="00000000" w:rsidDel="00000000" w:rsidP="00000000" w:rsidRDefault="00000000" w:rsidRPr="00000000" w14:paraId="000000A2">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6.4 Sleep score y duración</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Calibri" w:cs="Calibri" w:eastAsia="Calibri" w:hAnsi="Calibri"/>
          <w:b w:val="0"/>
          <w:bCs w:val="0"/>
          <w:color w:val="000000"/>
          <w:sz w:val="22"/>
          <w:szCs w:val="22"/>
          <w:rtl w:val="0"/>
        </w:rPr>
        <w:t xml:space="preserve">El sujeto promedió 7 h 53 min de sueño durante la semana viral, con superávit sobre la necesidad estimada de 7 h 36 min. El sleep score alcanzó su pico semanal el lunes 20 (88), confirmando descanso reparador en fase de resolución activa.</w:t>
      </w:r>
      <w:r w:rsidDel="00000000" w:rsidR="00000000" w:rsidRPr="00000000">
        <w:rPr>
          <w:rtl w:val="0"/>
        </w:rPr>
      </w:r>
    </w:p>
    <w:p w:rsidR="00000000" w:rsidDel="00000000" w:rsidP="00000000" w:rsidRDefault="00000000" w:rsidRPr="00000000" w14:paraId="000000A4">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6.5 Stress nocturno</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Calibri" w:cs="Calibri" w:eastAsia="Calibri" w:hAnsi="Calibri"/>
          <w:b w:val="0"/>
          <w:bCs w:val="0"/>
          <w:color w:val="000000"/>
          <w:sz w:val="22"/>
          <w:szCs w:val="22"/>
          <w:rtl w:val="0"/>
        </w:rPr>
        <w:t xml:space="preserve">Promedio semanal estable en 28 (rango bajo). Lecturas mínimas (18) en las noches de mejor recuperación. Coherente con sistema autonómico operando en modo restaurador.</w:t>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7. Ejemplos de decisiones clínicas asistidas</w:t>
      </w:r>
      <w:r w:rsidDel="00000000" w:rsidR="00000000" w:rsidRPr="00000000">
        <w:rPr>
          <w:rtl w:val="0"/>
        </w:rPr>
      </w:r>
    </w:p>
    <w:p w:rsidR="00000000" w:rsidDel="00000000" w:rsidP="00000000" w:rsidRDefault="00000000" w:rsidRPr="00000000" w14:paraId="000000A7">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7.1 Diferenciación entre rinitis alérgica e infección viral</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Calibri" w:cs="Calibri" w:eastAsia="Calibri" w:hAnsi="Calibri"/>
          <w:b w:val="0"/>
          <w:bCs w:val="0"/>
          <w:color w:val="000000"/>
          <w:sz w:val="22"/>
          <w:szCs w:val="22"/>
          <w:rtl w:val="0"/>
        </w:rPr>
        <w:t xml:space="preserve">El sujeto inicialmente atribuyó los síntomas tempranos a su rinitis alérgica estacional habitual. La caída de HRV de ~25% desde baseline fue el dato discriminador clave: la rinitis alérgica no produce depresión autonómica de esa magnitud. La IA identificó esto y lo comunicó como evidencia de infección viral superpuesta sobre fondo alérgico, redirigiendo el manejo.</w:t>
      </w:r>
      <w:r w:rsidDel="00000000" w:rsidR="00000000" w:rsidRPr="00000000">
        <w:rPr>
          <w:rtl w:val="0"/>
        </w:rPr>
      </w:r>
    </w:p>
    <w:p w:rsidR="00000000" w:rsidDel="00000000" w:rsidP="00000000" w:rsidRDefault="00000000" w:rsidRPr="00000000" w14:paraId="000000A9">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7.2 Decisión de cancelar partido del martes</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Calibri" w:cs="Calibri" w:eastAsia="Calibri" w:hAnsi="Calibri"/>
          <w:b w:val="0"/>
          <w:bCs w:val="0"/>
          <w:color w:val="000000"/>
          <w:sz w:val="22"/>
          <w:szCs w:val="22"/>
          <w:rtl w:val="0"/>
        </w:rPr>
        <w:t xml:space="preserve">Con un partido competitivo programado para el martes 21 (día 6 desde síntomas), el sujeto evaluó cancelarlo para proteger un partido eliminatorio del sábado 25 (día 10). La IA aportó análisis de costo-beneficio: jugar el martes habría reiniciado el reloj de recuperación, reducido la probabilidad de llegar al sábado al 95–100% de capacidad, y añadido carga alostática sobre un sistema aún comprometido. La decisión final fue cancelar el martes.</w:t>
      </w:r>
      <w:r w:rsidDel="00000000" w:rsidR="00000000" w:rsidRPr="00000000">
        <w:rPr>
          <w:rtl w:val="0"/>
        </w:rPr>
      </w:r>
    </w:p>
    <w:p w:rsidR="00000000" w:rsidDel="00000000" w:rsidP="00000000" w:rsidRDefault="00000000" w:rsidRPr="00000000" w14:paraId="000000AB">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7.3 Confrontación de patrón psicológico recurrente</w:t>
      </w: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rFonts w:ascii="Calibri" w:cs="Calibri" w:eastAsia="Calibri" w:hAnsi="Calibri"/>
          <w:b w:val="0"/>
          <w:bCs w:val="0"/>
          <w:color w:val="000000"/>
          <w:sz w:val="22"/>
          <w:szCs w:val="22"/>
          <w:rtl w:val="0"/>
        </w:rPr>
        <w:t xml:space="preserve">Cuando el sujeto reportó arrepentimiento anticipado por la cancelación, la IA confrontó directamente el patrón histórico de tomar decisiones desde la obligación externa ("no perder por default") versus desde el cuidado fisiológico fundamentado. Esta confrontación se hizo sin validar el arrepentimiento ni minimizar la incomodidad, simplemente nombrando el patrón. El sujeto sostuvo la decisión.</w:t>
      </w:r>
      <w:r w:rsidDel="00000000" w:rsidR="00000000" w:rsidRPr="00000000">
        <w:rPr>
          <w:rtl w:val="0"/>
        </w:rPr>
      </w:r>
    </w:p>
    <w:p w:rsidR="00000000" w:rsidDel="00000000" w:rsidP="00000000" w:rsidRDefault="00000000" w:rsidRPr="00000000" w14:paraId="000000AD">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7.4 Diagnóstico diferencial de episodio diarreico</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Fonts w:ascii="Calibri" w:cs="Calibri" w:eastAsia="Calibri" w:hAnsi="Calibri"/>
          <w:b w:val="0"/>
          <w:bCs w:val="0"/>
          <w:color w:val="000000"/>
          <w:sz w:val="22"/>
          <w:szCs w:val="22"/>
          <w:rtl w:val="0"/>
        </w:rPr>
        <w:t xml:space="preserve">Un episodio diarreico aislado el día 8 fue inicialmente preocupante. La IA generó tres hipótesis principales con probabilidades estimadas: disbiosis transitoria post-infección (35–45%), drenaje postnasal acumulado (20–25%), y causa alimentaria (15–20%). La predicción de autolimitación se confirmó: cero episodios al día siguiente.</w:t>
      </w:r>
      <w:r w:rsidDel="00000000" w:rsidR="00000000" w:rsidRPr="00000000">
        <w:rPr>
          <w:rtl w:val="0"/>
        </w:rPr>
      </w:r>
    </w:p>
    <w:p w:rsidR="00000000" w:rsidDel="00000000" w:rsidP="00000000" w:rsidRDefault="00000000" w:rsidRPr="00000000" w14:paraId="000000AF">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7.5 Inferencia retrospectiva de día de contagio</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Calibri" w:cs="Calibri" w:eastAsia="Calibri" w:hAnsi="Calibri"/>
          <w:b w:val="0"/>
          <w:bCs w:val="0"/>
          <w:color w:val="000000"/>
          <w:sz w:val="22"/>
          <w:szCs w:val="22"/>
          <w:rtl w:val="0"/>
        </w:rPr>
        <w:t xml:space="preserve">Mediante triangulación entre cronología sintomática, curva HRV completa de 7 días e incubación típica de rinovirus (1–3 días), se inferió la ventana de exposición más probable: lunes 13 de abril, con margen de ±48 horas. La inferencia se ajustó dos veces conforme aparecieron datos nuevos (síntomas reales vs. inicialmente reportados; curva HRV completa visible).</w:t>
      </w:r>
      <w:r w:rsidDel="00000000" w:rsidR="00000000" w:rsidRPr="00000000">
        <w:rPr>
          <w:rtl w:val="0"/>
        </w:rPr>
      </w:r>
    </w:p>
    <w:p w:rsidR="00000000" w:rsidDel="00000000" w:rsidP="00000000" w:rsidRDefault="00000000" w:rsidRPr="00000000" w14:paraId="000000B1">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8. Plan de reingreso al ejercicio</w:t>
      </w:r>
      <w:r w:rsidDel="00000000" w:rsidR="00000000" w:rsidRPr="00000000">
        <w:rPr>
          <w:rtl w:val="0"/>
        </w:rPr>
      </w:r>
    </w:p>
    <w:p w:rsidR="00000000" w:rsidDel="00000000" w:rsidP="00000000" w:rsidRDefault="00000000" w:rsidRPr="00000000" w14:paraId="000000B2">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8.1 Cronograma escalonado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7060"/>
        <w:tblGridChange w:id="0">
          <w:tblGrid>
            <w:gridCol w:w="800"/>
            <w:gridCol w:w="1500"/>
            <w:gridCol w:w="70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Calibri" w:cs="Calibri" w:eastAsia="Calibri" w:hAnsi="Calibri"/>
                <w:b w:val="1"/>
                <w:bCs w:val="1"/>
                <w:color w:val="ffffff"/>
                <w:sz w:val="20"/>
                <w:szCs w:val="20"/>
                <w:rtl w:val="0"/>
              </w:rPr>
              <w:t xml:space="preserve">Día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Calibri" w:cs="Calibri" w:eastAsia="Calibri" w:hAnsi="Calibri"/>
                <w:b w:val="1"/>
                <w:bCs w:val="1"/>
                <w:color w:val="ffffff"/>
                <w:sz w:val="20"/>
                <w:szCs w:val="20"/>
                <w:rtl w:val="0"/>
              </w:rPr>
              <w:t xml:space="preserve">Actividad autorizada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Calibri" w:cs="Calibri" w:eastAsia="Calibri" w:hAnsi="Calibri"/>
                <w:b w:val="0"/>
                <w:bCs w:val="0"/>
                <w:color w:val="000000"/>
                <w:sz w:val="20"/>
                <w:szCs w:val="20"/>
                <w:rtl w:val="0"/>
              </w:rPr>
              <w:t xml:space="preserve">Día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Calibri" w:cs="Calibri" w:eastAsia="Calibri" w:hAnsi="Calibri"/>
                <w:b w:val="0"/>
                <w:bCs w:val="0"/>
                <w:color w:val="000000"/>
                <w:sz w:val="20"/>
                <w:szCs w:val="20"/>
                <w:rtl w:val="0"/>
              </w:rPr>
              <w:t xml:space="preserve">Mié 22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000000"/>
                <w:sz w:val="20"/>
                <w:szCs w:val="20"/>
                <w:rtl w:val="0"/>
              </w:rPr>
              <w:t xml:space="preserve">Caminata 45–60 min con segmentos breves de paso ligeramente más rápido + movilidad. Sin Z2, sin fuerza.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Calibri" w:cs="Calibri" w:eastAsia="Calibri" w:hAnsi="Calibri"/>
                <w:b w:val="0"/>
                <w:bCs w:val="0"/>
                <w:color w:val="000000"/>
                <w:sz w:val="20"/>
                <w:szCs w:val="20"/>
                <w:rtl w:val="0"/>
              </w:rPr>
              <w:t xml:space="preserve">Día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Calibri" w:cs="Calibri" w:eastAsia="Calibri" w:hAnsi="Calibri"/>
                <w:b w:val="0"/>
                <w:bCs w:val="0"/>
                <w:color w:val="000000"/>
                <w:sz w:val="20"/>
                <w:szCs w:val="20"/>
                <w:rtl w:val="0"/>
              </w:rPr>
              <w:t xml:space="preserve">Jue 23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000000"/>
                <w:sz w:val="20"/>
                <w:szCs w:val="20"/>
                <w:rtl w:val="0"/>
              </w:rPr>
              <w:t xml:space="preserve">Z2 completa: 40 min al 64% FTP (~142 W). Fuerza ligera al 60–80%.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Calibri" w:cs="Calibri" w:eastAsia="Calibri" w:hAnsi="Calibri"/>
                <w:b w:val="0"/>
                <w:bCs w:val="0"/>
                <w:color w:val="000000"/>
                <w:sz w:val="20"/>
                <w:szCs w:val="20"/>
                <w:rtl w:val="0"/>
              </w:rPr>
              <w:t xml:space="preserve">Día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b w:val="0"/>
                <w:bCs w:val="0"/>
                <w:color w:val="000000"/>
                <w:sz w:val="20"/>
                <w:szCs w:val="20"/>
                <w:rtl w:val="0"/>
              </w:rPr>
              <w:t xml:space="preserve">Vie 24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color w:val="000000"/>
                <w:sz w:val="20"/>
                <w:szCs w:val="20"/>
                <w:rtl w:val="0"/>
              </w:rPr>
              <w:t xml:space="preserve">Peloteo controlado 45–60 min, sin puntos competitivos. Descarga 3 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Calibri" w:cs="Calibri" w:eastAsia="Calibri" w:hAnsi="Calibri"/>
                <w:b w:val="0"/>
                <w:bCs w:val="0"/>
                <w:color w:val="000000"/>
                <w:sz w:val="20"/>
                <w:szCs w:val="20"/>
                <w:rtl w:val="0"/>
              </w:rPr>
              <w:t xml:space="preserve">Día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Calibri" w:cs="Calibri" w:eastAsia="Calibri" w:hAnsi="Calibri"/>
                <w:b w:val="0"/>
                <w:bCs w:val="0"/>
                <w:color w:val="000000"/>
                <w:sz w:val="20"/>
                <w:szCs w:val="20"/>
                <w:rtl w:val="0"/>
              </w:rPr>
              <w:t xml:space="preserve">Sáb 25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000000"/>
                <w:sz w:val="20"/>
                <w:szCs w:val="20"/>
                <w:rtl w:val="0"/>
              </w:rPr>
              <w:t xml:space="preserve">Partido torneo eliminación. Calentamiento extendido 25 min. Capacidad esperada 92–97%.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Calibri" w:cs="Calibri" w:eastAsia="Calibri" w:hAnsi="Calibri"/>
                <w:b w:val="0"/>
                <w:bCs w:val="0"/>
                <w:color w:val="000000"/>
                <w:sz w:val="20"/>
                <w:szCs w:val="20"/>
                <w:rtl w:val="0"/>
              </w:rPr>
              <w:t xml:space="preserve">Día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Calibri" w:cs="Calibri" w:eastAsia="Calibri" w:hAnsi="Calibri"/>
                <w:b w:val="0"/>
                <w:bCs w:val="0"/>
                <w:color w:val="000000"/>
                <w:sz w:val="20"/>
                <w:szCs w:val="20"/>
                <w:rtl w:val="0"/>
              </w:rPr>
              <w:t xml:space="preserve">Dom 26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color w:val="000000"/>
                <w:sz w:val="20"/>
                <w:szCs w:val="20"/>
                <w:rtl w:val="0"/>
              </w:rPr>
              <w:t xml:space="preserve">Recuperación absoluta. Hidratación máxima, 9 h sueño.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b w:val="0"/>
                <w:bCs w:val="0"/>
                <w:color w:val="000000"/>
                <w:sz w:val="20"/>
                <w:szCs w:val="20"/>
                <w:rtl w:val="0"/>
              </w:rPr>
              <w:t xml:space="preserve">Día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0"/>
                <w:bCs w:val="0"/>
                <w:color w:val="000000"/>
                <w:sz w:val="20"/>
                <w:szCs w:val="20"/>
                <w:rtl w:val="0"/>
              </w:rPr>
              <w:t xml:space="preserve">Lun 27 abr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000000"/>
                <w:sz w:val="20"/>
                <w:szCs w:val="20"/>
                <w:rtl w:val="0"/>
              </w:rPr>
              <w:t xml:space="preserve">Partido de seguimiento. Capacidad menor que sábado por carga acumulada.</w:t>
            </w:r>
            <w:r w:rsidDel="00000000" w:rsidR="00000000" w:rsidRPr="00000000">
              <w:rPr>
                <w:rtl w:val="0"/>
              </w:rPr>
            </w:r>
          </w:p>
        </w:tc>
      </w:tr>
    </w:tbl>
    <w:p w:rsidR="00000000" w:rsidDel="00000000" w:rsidP="00000000" w:rsidRDefault="00000000" w:rsidRPr="00000000" w14:paraId="000000C8">
      <w:pPr>
        <w:spacing w:after="120" w:lineRule="auto"/>
        <w:rPr/>
      </w:pPr>
      <w:r w:rsidDel="00000000" w:rsidR="00000000" w:rsidRPr="00000000">
        <w:rPr>
          <w:rtl w:val="0"/>
        </w:rPr>
      </w:r>
    </w:p>
    <w:p w:rsidR="00000000" w:rsidDel="00000000" w:rsidP="00000000" w:rsidRDefault="00000000" w:rsidRPr="00000000" w14:paraId="000000C9">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8.2 Criterios objetivos de progresión diaria</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HRV nocturna por encima del umbral del día (típicamente 35 ms o superior).</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Síntomas residuales mínimos o ausentes.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Energía subjetiva ≥7/10.</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Ausencia de eventos GI nuevos.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tos persistente diurna.</w:t>
      </w:r>
    </w:p>
    <w:p w:rsidR="00000000" w:rsidDel="00000000" w:rsidP="00000000" w:rsidRDefault="00000000" w:rsidRPr="00000000" w14:paraId="000000CF">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8.3 Criterios de no-go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HRV por debajo del umbral del día.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Aparición de fiebre, tos seca persistente o disnea.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Dolor torácico al toser o con respiración profunda.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Empeoramiento de mucosidad o cambio de color a verde franco.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Sueño &lt;7 h promedio en la semana.</w:t>
      </w:r>
    </w:p>
    <w:p w:rsidR="00000000" w:rsidDel="00000000" w:rsidP="00000000" w:rsidRDefault="00000000" w:rsidRPr="00000000" w14:paraId="000000D5">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9. Estado al cierre del documento (mié 22 abr)</w:t>
      </w:r>
      <w:r w:rsidDel="00000000" w:rsidR="00000000" w:rsidRPr="00000000">
        <w:rPr>
          <w:rtl w:val="0"/>
        </w:rPr>
      </w:r>
    </w:p>
    <w:p w:rsidR="00000000" w:rsidDel="00000000" w:rsidP="00000000" w:rsidRDefault="00000000" w:rsidRPr="00000000" w14:paraId="000000D6">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9.1 Estado clínico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000"/>
        <w:tblGridChange w:id="0">
          <w:tblGrid>
            <w:gridCol w:w="336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Calibri" w:cs="Calibri" w:eastAsia="Calibri" w:hAnsi="Calibri"/>
                <w:b w:val="1"/>
                <w:bCs w:val="1"/>
                <w:color w:val="ffffff"/>
                <w:sz w:val="20"/>
                <w:szCs w:val="20"/>
                <w:rtl w:val="0"/>
              </w:rPr>
              <w:t xml:space="preserve">Dimensión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color w:val="000000"/>
                <w:sz w:val="20"/>
                <w:szCs w:val="20"/>
                <w:rtl w:val="0"/>
              </w:rPr>
              <w:t xml:space="preserve">Síntomas sistémicos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color w:val="000000"/>
                <w:sz w:val="20"/>
                <w:szCs w:val="20"/>
                <w:rtl w:val="0"/>
              </w:rPr>
              <w:t xml:space="preserve">Ausentes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color w:val="000000"/>
                <w:sz w:val="20"/>
                <w:szCs w:val="20"/>
                <w:rtl w:val="0"/>
              </w:rPr>
              <w:t xml:space="preserve">Mucosidad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000000"/>
                <w:sz w:val="20"/>
                <w:szCs w:val="20"/>
                <w:rtl w:val="0"/>
              </w:rPr>
              <w:t xml:space="preserve">Mínima (drenaje residual de moco blancuzco en ducha matutina)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b w:val="0"/>
                <w:bCs w:val="0"/>
                <w:color w:val="000000"/>
                <w:sz w:val="20"/>
                <w:szCs w:val="20"/>
                <w:rtl w:val="0"/>
              </w:rPr>
              <w:t xml:space="preserve">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Calibri" w:cs="Calibri" w:eastAsia="Calibri" w:hAnsi="Calibri"/>
                <w:b w:val="0"/>
                <w:bCs w:val="0"/>
                <w:color w:val="000000"/>
                <w:sz w:val="20"/>
                <w:szCs w:val="20"/>
                <w:rtl w:val="0"/>
              </w:rPr>
              <w:t xml:space="preserve">Ausente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000000"/>
                <w:sz w:val="20"/>
                <w:szCs w:val="20"/>
                <w:rtl w:val="0"/>
              </w:rPr>
              <w:t xml:space="preserve">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Calibri" w:cs="Calibri" w:eastAsia="Calibri" w:hAnsi="Calibri"/>
                <w:b w:val="0"/>
                <w:bCs w:val="0"/>
                <w:color w:val="000000"/>
                <w:sz w:val="20"/>
                <w:szCs w:val="20"/>
                <w:rtl w:val="0"/>
              </w:rPr>
              <w:t xml:space="preserve">Normalizado, cero evacuaciones líquidas hoy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b w:val="0"/>
                <w:bCs w:val="0"/>
                <w:color w:val="000000"/>
                <w:sz w:val="20"/>
                <w:szCs w:val="20"/>
                <w:rtl w:val="0"/>
              </w:rPr>
              <w:t xml:space="preserve">Sueño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000000"/>
                <w:sz w:val="20"/>
                <w:szCs w:val="20"/>
                <w:rtl w:val="0"/>
              </w:rPr>
              <w:t xml:space="preserve">Bien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Calibri" w:cs="Calibri" w:eastAsia="Calibri" w:hAnsi="Calibri"/>
                <w:b w:val="0"/>
                <w:bCs w:val="0"/>
                <w:color w:val="000000"/>
                <w:sz w:val="20"/>
                <w:szCs w:val="20"/>
                <w:rtl w:val="0"/>
              </w:rPr>
              <w:t xml:space="preserve">Energía subjetiva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b w:val="0"/>
                <w:bCs w:val="0"/>
                <w:color w:val="000000"/>
                <w:sz w:val="20"/>
                <w:szCs w:val="20"/>
                <w:rtl w:val="0"/>
              </w:rPr>
              <w:t xml:space="preserve">7/10</w:t>
            </w:r>
            <w:r w:rsidDel="00000000" w:rsidR="00000000" w:rsidRPr="00000000">
              <w:rPr>
                <w:rtl w:val="0"/>
              </w:rPr>
            </w:r>
          </w:p>
        </w:tc>
      </w:tr>
    </w:tbl>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9.2 Estado autonómico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gridCol w:w="3000"/>
        <w:tblGridChange w:id="0">
          <w:tblGrid>
            <w:gridCol w:w="3360"/>
            <w:gridCol w:w="3000"/>
            <w:gridCol w:w="3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Calibri" w:cs="Calibri" w:eastAsia="Calibri" w:hAnsi="Calibri"/>
                <w:b w:val="1"/>
                <w:bCs w:val="1"/>
                <w:color w:val="ffffff"/>
                <w:sz w:val="20"/>
                <w:szCs w:val="20"/>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Calibri" w:cs="Calibri" w:eastAsia="Calibri" w:hAnsi="Calibri"/>
                <w:b w:val="1"/>
                <w:bCs w:val="1"/>
                <w:color w:val="ffffff"/>
                <w:sz w:val="20"/>
                <w:szCs w:val="20"/>
                <w:rtl w:val="0"/>
              </w:rPr>
              <w:t xml:space="preserve">Valor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c3e50"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Calibri" w:cs="Calibri" w:eastAsia="Calibri" w:hAnsi="Calibri"/>
                <w:b w:val="1"/>
                <w:bCs w:val="1"/>
                <w:color w:val="ffffff"/>
                <w:sz w:val="20"/>
                <w:szCs w:val="20"/>
                <w:rtl w:val="0"/>
              </w:rPr>
              <w:t xml:space="preserve">% del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Calibri" w:cs="Calibri" w:eastAsia="Calibri" w:hAnsi="Calibri"/>
                <w:b w:val="0"/>
                <w:bCs w:val="0"/>
                <w:color w:val="000000"/>
                <w:sz w:val="20"/>
                <w:szCs w:val="20"/>
                <w:rtl w:val="0"/>
              </w:rPr>
              <w:t xml:space="preserve">HRV nocturna sleep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color w:val="000000"/>
                <w:sz w:val="20"/>
                <w:szCs w:val="20"/>
                <w:rtl w:val="0"/>
              </w:rPr>
              <w:t xml:space="preserve">32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Calibri" w:cs="Calibri" w:eastAsia="Calibri" w:hAnsi="Calibri"/>
                <w:b w:val="0"/>
                <w:bCs w:val="0"/>
                <w:color w:val="000000"/>
                <w:sz w:val="20"/>
                <w:szCs w:val="20"/>
                <w:rtl w:val="0"/>
              </w:rPr>
              <w:t xml:space="preserve">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Calibri" w:cs="Calibri" w:eastAsia="Calibri" w:hAnsi="Calibri"/>
                <w:b w:val="0"/>
                <w:bCs w:val="0"/>
                <w:color w:val="000000"/>
                <w:sz w:val="20"/>
                <w:szCs w:val="20"/>
                <w:rtl w:val="0"/>
              </w:rPr>
              <w:t xml:space="preserve">HRV nocturna awake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000000"/>
                <w:sz w:val="20"/>
                <w:szCs w:val="20"/>
                <w:rtl w:val="0"/>
              </w:rPr>
              <w:t xml:space="preserve">35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0"/>
                <w:bCs w:val="0"/>
                <w:color w:val="000000"/>
                <w:sz w:val="20"/>
                <w:szCs w:val="20"/>
                <w:rtl w:val="0"/>
              </w:rPr>
              <w:t xml:space="preserve">87.5%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Calibri" w:cs="Calibri" w:eastAsia="Calibri" w:hAnsi="Calibri"/>
                <w:b w:val="0"/>
                <w:bCs w:val="0"/>
                <w:color w:val="000000"/>
                <w:sz w:val="20"/>
                <w:szCs w:val="20"/>
                <w:rtl w:val="0"/>
              </w:rPr>
              <w:t xml:space="preserve">FC nocturna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000000"/>
                <w:sz w:val="20"/>
                <w:szCs w:val="20"/>
                <w:rtl w:val="0"/>
              </w:rPr>
              <w:t xml:space="preserve">52 lpm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b w:val="0"/>
                <w:bCs w:val="0"/>
                <w:color w:val="000000"/>
                <w:sz w:val="20"/>
                <w:szCs w:val="20"/>
                <w:rtl w:val="0"/>
              </w:rPr>
              <w:t xml:space="preserve">100% (basal)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Calibri" w:cs="Calibri" w:eastAsia="Calibri" w:hAnsi="Calibri"/>
                <w:b w:val="0"/>
                <w:bCs w:val="0"/>
                <w:color w:val="000000"/>
                <w:sz w:val="20"/>
                <w:szCs w:val="20"/>
                <w:rtl w:val="0"/>
              </w:rPr>
              <w:t xml:space="preserve">Frecuencia respiratoria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000000"/>
                <w:sz w:val="20"/>
                <w:szCs w:val="20"/>
                <w:rtl w:val="0"/>
              </w:rPr>
              <w:t xml:space="preserve">15 rpm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b w:val="0"/>
                <w:bCs w:val="0"/>
                <w:color w:val="000000"/>
                <w:sz w:val="20"/>
                <w:szCs w:val="20"/>
                <w:rtl w:val="0"/>
              </w:rPr>
              <w:t xml:space="preserve">100% (basal)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Calibri" w:cs="Calibri" w:eastAsia="Calibri" w:hAnsi="Calibri"/>
                <w:b w:val="0"/>
                <w:bCs w:val="0"/>
                <w:color w:val="000000"/>
                <w:sz w:val="20"/>
                <w:szCs w:val="20"/>
                <w:rtl w:val="0"/>
              </w:rPr>
              <w:t xml:space="preserve">Stress promedio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000000"/>
                <w:sz w:val="20"/>
                <w:szCs w:val="20"/>
                <w:rtl w:val="0"/>
              </w:rPr>
              <w:t xml:space="preserve">18–28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0"/>
                <w:bCs w:val="0"/>
                <w:color w:val="000000"/>
                <w:sz w:val="20"/>
                <w:szCs w:val="20"/>
                <w:rtl w:val="0"/>
              </w:rPr>
              <w:t xml:space="preserve">Mínimo personal</w:t>
            </w:r>
            <w:r w:rsidDel="00000000" w:rsidR="00000000" w:rsidRPr="00000000">
              <w:rPr>
                <w:rtl w:val="0"/>
              </w:rPr>
            </w:r>
          </w:p>
        </w:tc>
      </w:tr>
    </w:tbl>
    <w:p w:rsidR="00000000" w:rsidDel="00000000" w:rsidP="00000000" w:rsidRDefault="00000000" w:rsidRPr="00000000" w14:paraId="000000F9">
      <w:pPr>
        <w:spacing w:after="120" w:lineRule="auto"/>
        <w:rPr/>
      </w:pPr>
      <w:r w:rsidDel="00000000" w:rsidR="00000000" w:rsidRPr="00000000">
        <w:rPr>
          <w:rtl w:val="0"/>
        </w:rPr>
      </w:r>
    </w:p>
    <w:p w:rsidR="00000000" w:rsidDel="00000000" w:rsidP="00000000" w:rsidRDefault="00000000" w:rsidRPr="00000000" w14:paraId="000000FA">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9.3 Decisión del día</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Calibri" w:cs="Calibri" w:eastAsia="Calibri" w:hAnsi="Calibri"/>
          <w:b w:val="0"/>
          <w:bCs w:val="0"/>
          <w:color w:val="000000"/>
          <w:sz w:val="22"/>
          <w:szCs w:val="22"/>
          <w:rtl w:val="0"/>
        </w:rPr>
        <w:t xml:space="preserve">El sujeto cumple criterios para reingreso conservador. Marcadores subjetivos confirman 7/10 de energía. Plan ejecutado: Opción A (caminata extendida + movilidad, sin Z2) para preservar HRV sleep que aún no alcanzó umbral pleno (32 vs. ≥35 ms). Reingreso a Z2 formal proyectado para jueves 23 con holgura.</w:t>
      </w:r>
      <w:r w:rsidDel="00000000" w:rsidR="00000000" w:rsidRPr="00000000">
        <w:rPr>
          <w:rtl w:val="0"/>
        </w:rPr>
      </w:r>
    </w:p>
    <w:p w:rsidR="00000000" w:rsidDel="00000000" w:rsidP="00000000" w:rsidRDefault="00000000" w:rsidRPr="00000000" w14:paraId="000000FC">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10. Aprendizajes generalizables</w:t>
      </w:r>
      <w:r w:rsidDel="00000000" w:rsidR="00000000" w:rsidRPr="00000000">
        <w:rPr>
          <w:rtl w:val="0"/>
        </w:rPr>
      </w:r>
    </w:p>
    <w:p w:rsidR="00000000" w:rsidDel="00000000" w:rsidP="00000000" w:rsidRDefault="00000000" w:rsidRPr="00000000" w14:paraId="000000FD">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10.1 Sobre la utilidad de los datos del wearable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HRV detecta procesos infecciosos antes de los síntomas,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típicamente 24–72 horas antes de la primera manifestación clínica. Esto crea una ventana de oportunidad para ajustar carga de entrenamiento preventivamente.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frecuencia cardiaca nocturna es marcador limpio de resolución,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más sensible que la HRV en algunos contextos. Su retorno a basal anticipa la normalización completa.</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sleep score elevado durante infección indica recuperación adaptativa,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enfermedad más severa. El cuerpo prioriza descanso reparador automáticamente.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 etiquetas "Low" o "Unbalanced" del watch no son alarmas clínicas,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sino comparaciones contra baseline personal. Requieren interpretación contextual.</w:t>
      </w:r>
    </w:p>
    <w:p w:rsidR="00000000" w:rsidDel="00000000" w:rsidP="00000000" w:rsidRDefault="00000000" w:rsidRPr="00000000" w14:paraId="00000102">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10.2 Sobre la utilidad de la IA conversacional</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Capacidad de integrar datos heterogéneos en tiempo real: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síntomas verbales, capturas de pantalla, contexto biográfico, antecedentes clínicos.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Comunicación explícita de incertidumbre: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todas las inferencias diagnósticas se comunicaron con niveles de confianza, no como certezas.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Confrontación útil de patrones psicológicos: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IA puede nombrar patrones de comportamiento (ej. tomar decisiones desde la obligación externa) sin caer en validación complaciente.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Iteración rápida con auto-corrección: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aparecen datos nuevos, el modelo recalibra abiertamente sus inferencias previas en lugar de defender hipótesis iniciales.</w:t>
      </w:r>
    </w:p>
    <w:p w:rsidR="00000000" w:rsidDel="00000000" w:rsidP="00000000" w:rsidRDefault="00000000" w:rsidRPr="00000000" w14:paraId="00000107">
      <w:pPr>
        <w:pStyle w:val="Heading2"/>
        <w:spacing w:after="140" w:before="280" w:lineRule="auto"/>
        <w:rPr/>
      </w:pPr>
      <w:r w:rsidDel="00000000" w:rsidR="00000000" w:rsidRPr="00000000">
        <w:rPr>
          <w:rFonts w:ascii="Calibri" w:cs="Calibri" w:eastAsia="Calibri" w:hAnsi="Calibri"/>
          <w:b w:val="1"/>
          <w:bCs w:val="1"/>
          <w:color w:val="34495e"/>
          <w:sz w:val="26"/>
          <w:szCs w:val="26"/>
          <w:rtl w:val="0"/>
        </w:rPr>
        <w:t xml:space="preserve">10.3 Limitaciones reconocidas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IA no sustituye valoración médica presencial.</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panel viral confirmatorio, la identidad del patógeno permanece probabilística.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datos del wearable son inespecíficos: pueden caer por sueño, estrés, esfuerzo previo, no solo infección.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calibración entre datos subjetivos y objetivos requiere base personal previa que el sistema vaya construyendo.</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sesgo del sujeto al reportar (omitir, minimizar, retrasar) puede sesgar la inferencia. La IA debe preguntar activamente.</w:t>
      </w:r>
    </w:p>
    <w:p w:rsidR="00000000" w:rsidDel="00000000" w:rsidP="00000000" w:rsidRDefault="00000000" w:rsidRPr="00000000" w14:paraId="0000010D">
      <w:pPr>
        <w:pStyle w:val="Heading1"/>
        <w:spacing w:after="200" w:before="360" w:lineRule="auto"/>
        <w:rPr/>
      </w:pPr>
      <w:r w:rsidDel="00000000" w:rsidR="00000000" w:rsidRPr="00000000">
        <w:rPr>
          <w:rFonts w:ascii="Calibri" w:cs="Calibri" w:eastAsia="Calibri" w:hAnsi="Calibri"/>
          <w:b w:val="1"/>
          <w:bCs w:val="1"/>
          <w:color w:val="2c3e50"/>
          <w:sz w:val="32"/>
          <w:szCs w:val="32"/>
          <w:rtl w:val="0"/>
        </w:rPr>
        <w:t xml:space="preserve">11. Cierre</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Calibri" w:cs="Calibri" w:eastAsia="Calibri" w:hAnsi="Calibri"/>
          <w:b w:val="0"/>
          <w:bCs w:val="0"/>
          <w:color w:val="000000"/>
          <w:sz w:val="22"/>
          <w:szCs w:val="22"/>
          <w:rtl w:val="0"/>
        </w:rPr>
        <w:t xml:space="preserve">Este caso ilustra una colaboración funcional entre datos biométricos continuos y razonamiento clínico asistido por IA, en el contexto específico de un atleta amateur con buen estado de salud basal y autoconciencia metacognitiva alta. La utilidad práctica fue medible: identificación temprana del evento infeccioso, manejo conservador con criterios objetivos, decisión bien fundamentada de cancelar un partido para proteger otro de mayor importancia, y plan de reingreso escalonado con puntos de corte explícitos.</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Calibri" w:cs="Calibri" w:eastAsia="Calibri" w:hAnsi="Calibri"/>
          <w:b w:val="0"/>
          <w:bCs w:val="0"/>
          <w:color w:val="000000"/>
          <w:sz w:val="22"/>
          <w:szCs w:val="22"/>
          <w:rtl w:val="0"/>
        </w:rPr>
        <w:t xml:space="preserve">La extrapolación a otros perfiles requiere consideraciones adicionales: nivel de adherencia al uso del wearable, alfabetización en interpretación de datos, capacidad de reportar con precisión, y disponibilidad de un baseline personal robusto. La metodología no aplica a poblaciones vulnerables, niños, o casos con comorbilidades complejas sin supervisión médica directa.</w:t>
      </w:r>
      <w:r w:rsidDel="00000000" w:rsidR="00000000" w:rsidRPr="00000000">
        <w:rPr>
          <w:rtl w:val="0"/>
        </w:rPr>
      </w:r>
    </w:p>
    <w:p w:rsidR="00000000" w:rsidDel="00000000" w:rsidP="00000000" w:rsidRDefault="00000000" w:rsidRPr="00000000" w14:paraId="00000110">
      <w:pPr>
        <w:pBdr>
          <w:bottom w:color="2c3e50" w:space="1" w:sz="6" w:val="single"/>
        </w:pBdr>
        <w:spacing w:after="200" w:before="200" w:lineRule="auto"/>
        <w:rPr/>
      </w:pP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Calibri" w:cs="Calibri" w:eastAsia="Calibri" w:hAnsi="Calibri"/>
          <w:b w:val="0"/>
          <w:bCs w:val="0"/>
          <w:color w:val="7f8c8d"/>
          <w:sz w:val="18"/>
          <w:szCs w:val="18"/>
          <w:rtl w:val="0"/>
        </w:rPr>
        <w:t xml:space="preserve">Documento generado mediante diálogo iterativo entre Hans Laut y Claude (Anthropic) durante el periodo del 19 al 22 de abril de 2026. No sustituye criterio clínico médico. Si aparece fiebre &gt;38 °C, disnea, dolor torácico, empeoramiento marcado, o reaparición de síntomas tras mejoría franca, se requiere consulta presencial.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34495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4495e"/>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