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F6" w:rsidRDefault="004F129C" w:rsidP="004F129C">
      <w:pPr>
        <w:pStyle w:val="Titel"/>
      </w:pPr>
      <w:r>
        <w:t>Mini-</w:t>
      </w:r>
      <w:proofErr w:type="spellStart"/>
      <w:r w:rsidR="00AA20B8">
        <w:t>ReadMe</w:t>
      </w:r>
      <w:proofErr w:type="spellEnd"/>
      <w:r w:rsidR="00173F5B">
        <w:t xml:space="preserve"> H2020-Ansichten</w:t>
      </w:r>
    </w:p>
    <w:p w:rsidR="004F129C" w:rsidRPr="004F129C" w:rsidRDefault="004F129C" w:rsidP="004F129C"/>
    <w:p w:rsidR="00933F51" w:rsidRDefault="00173F5B">
      <w:r>
        <w:t xml:space="preserve">Die Ansichten </w:t>
      </w:r>
      <w:r w:rsidR="00783A8F">
        <w:t>„</w:t>
      </w:r>
      <w:r w:rsidR="00B74FF5">
        <w:rPr>
          <w:rStyle w:val="ng-binding"/>
        </w:rPr>
        <w:t>Ansicht für den H2020 DMP</w:t>
      </w:r>
      <w:r w:rsidR="00783A8F">
        <w:t>“ und „</w:t>
      </w:r>
      <w:r w:rsidR="00B74FF5">
        <w:rPr>
          <w:rStyle w:val="ng-binding"/>
        </w:rPr>
        <w:t>H2020 DMP (Tabellarisch)“</w:t>
      </w:r>
      <w:r w:rsidR="00933F51">
        <w:rPr>
          <w:rStyle w:val="HTMLCode"/>
          <w:rFonts w:eastAsiaTheme="minorHAnsi"/>
        </w:rPr>
        <w:t xml:space="preserve"> </w:t>
      </w:r>
      <w:r>
        <w:t xml:space="preserve">wurden für den </w:t>
      </w:r>
      <w:proofErr w:type="spellStart"/>
      <w:r>
        <w:t>Horizon</w:t>
      </w:r>
      <w:proofErr w:type="spellEnd"/>
      <w:r>
        <w:t xml:space="preserve"> 2020 </w:t>
      </w:r>
      <w:r w:rsidR="00F357F2">
        <w:t>Datenmanagementplan</w:t>
      </w:r>
      <w:r>
        <w:t xml:space="preserve"> (</w:t>
      </w:r>
      <w:hyperlink r:id="rId4" w:history="1">
        <w:r w:rsidRPr="00933F51">
          <w:rPr>
            <w:rStyle w:val="Hyperlink"/>
          </w:rPr>
          <w:t>Link</w:t>
        </w:r>
      </w:hyperlink>
      <w:r>
        <w:t xml:space="preserve">) des Projektes </w:t>
      </w:r>
      <w:r w:rsidR="00783A8F">
        <w:t>„</w:t>
      </w:r>
      <w:r>
        <w:t xml:space="preserve">eHumanities </w:t>
      </w:r>
      <w:r w:rsidR="00783A8F">
        <w:t>–</w:t>
      </w:r>
      <w:r>
        <w:t xml:space="preserve"> interdisziplinär</w:t>
      </w:r>
      <w:r w:rsidR="00783A8F">
        <w:t>“</w:t>
      </w:r>
      <w:r>
        <w:t xml:space="preserve"> von der </w:t>
      </w:r>
      <w:r w:rsidRPr="008F2137">
        <w:rPr>
          <w:i/>
        </w:rPr>
        <w:t>ULB Darmstadt</w:t>
      </w:r>
      <w:r>
        <w:t xml:space="preserve"> </w:t>
      </w:r>
      <w:r w:rsidR="00783A8F">
        <w:t>und</w:t>
      </w:r>
      <w:r>
        <w:t xml:space="preserve"> dem </w:t>
      </w:r>
      <w:r w:rsidRPr="008F2137">
        <w:rPr>
          <w:i/>
        </w:rPr>
        <w:t>eHumanities-Projekt</w:t>
      </w:r>
      <w:r>
        <w:t xml:space="preserve"> erstellt.</w:t>
      </w:r>
      <w:r w:rsidR="00933F51">
        <w:t xml:space="preserve"> Die</w:t>
      </w:r>
      <w:r w:rsidR="00091862">
        <w:t xml:space="preserve"> Ansichten bauen stark auf der Horizon2020-Ansicht für den großen RDMO-DMP auf. </w:t>
      </w:r>
    </w:p>
    <w:p w:rsidR="00250ABB" w:rsidRDefault="00091862">
      <w:r>
        <w:t xml:space="preserve">Für den </w:t>
      </w:r>
      <w:r w:rsidR="00FB3811">
        <w:t>reinen</w:t>
      </w:r>
      <w:r>
        <w:t xml:space="preserve"> H2020-Plan </w:t>
      </w:r>
      <w:r w:rsidR="00933F51">
        <w:t>sollten</w:t>
      </w:r>
      <w:r>
        <w:t xml:space="preserve"> diese angepassten Ansichten verwendet werden, da die Domäne erweitert wurde und die Attribute nicht exakt den gleichen Themenkomplexen </w:t>
      </w:r>
      <w:r w:rsidR="00FB3811">
        <w:t>wie im allgemeinen RDMO-Plan</w:t>
      </w:r>
      <w:r w:rsidR="00FB3811">
        <w:t xml:space="preserve"> </w:t>
      </w:r>
      <w:r>
        <w:t xml:space="preserve">zugeordnet wurden. In </w:t>
      </w:r>
      <w:r w:rsidR="00250ABB">
        <w:t xml:space="preserve">der </w:t>
      </w:r>
      <w:r>
        <w:t>Standard</w:t>
      </w:r>
      <w:r w:rsidR="00250ABB">
        <w:t>-</w:t>
      </w:r>
      <w:r>
        <w:t>H2020-Ansicht würden einige der Antworten untergehen.</w:t>
      </w:r>
      <w:r w:rsidR="00250ABB">
        <w:t xml:space="preserve"> </w:t>
      </w:r>
    </w:p>
    <w:p w:rsidR="00173F5B" w:rsidRPr="00091862" w:rsidRDefault="00250ABB">
      <w:r>
        <w:t xml:space="preserve">Der H2020-Fragenkatalog </w:t>
      </w:r>
      <w:r w:rsidR="004F129C">
        <w:t>enthält einige Dummy-Fragen</w:t>
      </w:r>
      <w:r>
        <w:t xml:space="preserve">, die nur </w:t>
      </w:r>
      <w:r w:rsidR="004F129C">
        <w:t xml:space="preserve">dazu da </w:t>
      </w:r>
      <w:r>
        <w:t>sind</w:t>
      </w:r>
      <w:r w:rsidR="00933F51">
        <w:t>,</w:t>
      </w:r>
      <w:r>
        <w:t xml:space="preserve"> dem Nutzer</w:t>
      </w:r>
      <w:r w:rsidR="004F129C">
        <w:t xml:space="preserve"> einige Informationen bereitzustellen. Diese Fragen sind bei der normalen Darstellung („Antworten anzeigen“) sichtbar und für den Nutzer dort nicht hilfreich. Daher </w:t>
      </w:r>
      <w:r>
        <w:t>wurden diese Fragen aus den Ansichten herausgenommen</w:t>
      </w:r>
      <w:r w:rsidR="004F129C">
        <w:t>.</w:t>
      </w:r>
      <w:r>
        <w:t xml:space="preserve"> </w:t>
      </w:r>
    </w:p>
    <w:p w:rsidR="0023599E" w:rsidRDefault="00173F5B">
      <w:r>
        <w:t xml:space="preserve">Die </w:t>
      </w:r>
      <w:r w:rsidRPr="00FB3811">
        <w:t>Ansicht</w:t>
      </w:r>
      <w:r w:rsidRPr="00091862">
        <w:rPr>
          <w:b/>
        </w:rPr>
        <w:t xml:space="preserve"> </w:t>
      </w:r>
      <w:r w:rsidRPr="00B74FF5">
        <w:rPr>
          <w:b/>
        </w:rPr>
        <w:t>„</w:t>
      </w:r>
      <w:r w:rsidR="00B74FF5" w:rsidRPr="00B74FF5">
        <w:rPr>
          <w:rStyle w:val="ng-binding"/>
          <w:b/>
        </w:rPr>
        <w:t>Ansicht für den H2020 DMP</w:t>
      </w:r>
      <w:r w:rsidR="00A11124" w:rsidRPr="00B74FF5">
        <w:rPr>
          <w:rStyle w:val="ng-binding"/>
          <w:b/>
        </w:rPr>
        <w:t>“</w:t>
      </w:r>
      <w:r w:rsidR="00A11124">
        <w:rPr>
          <w:rStyle w:val="ng-binding"/>
        </w:rPr>
        <w:t xml:space="preserve"> </w:t>
      </w:r>
      <w:r w:rsidR="004A34FC">
        <w:t xml:space="preserve">orientiert sich </w:t>
      </w:r>
      <w:r w:rsidR="00091862">
        <w:t xml:space="preserve">eng </w:t>
      </w:r>
      <w:r w:rsidR="004A34FC">
        <w:t>an der bestehenden RDMO-Ansicht, die die Antworten den Fragestel</w:t>
      </w:r>
      <w:r w:rsidR="0001206A">
        <w:t>l</w:t>
      </w:r>
      <w:r w:rsidR="004A34FC">
        <w:t xml:space="preserve">ungen des </w:t>
      </w:r>
      <w:r w:rsidR="00FB3811">
        <w:t xml:space="preserve">offiziellen </w:t>
      </w:r>
      <w:r w:rsidR="004A34FC">
        <w:t>H2020-</w:t>
      </w:r>
      <w:r w:rsidR="00FB3811">
        <w:t>Fragebogens der EU</w:t>
      </w:r>
      <w:r w:rsidR="004A34FC">
        <w:t xml:space="preserve"> </w:t>
      </w:r>
      <w:r w:rsidR="00783A8F">
        <w:t>zu</w:t>
      </w:r>
      <w:r>
        <w:t>ordnet</w:t>
      </w:r>
      <w:r w:rsidR="00091862">
        <w:t>.</w:t>
      </w:r>
      <w:r w:rsidR="00F357F2">
        <w:t xml:space="preserve"> Außerdem </w:t>
      </w:r>
      <w:r w:rsidR="00783A8F">
        <w:t xml:space="preserve">werden die Antworten </w:t>
      </w:r>
      <w:r w:rsidR="00F357F2">
        <w:t xml:space="preserve">zu den </w:t>
      </w:r>
      <w:r w:rsidR="00091862">
        <w:t xml:space="preserve">neuen Fragen nach den </w:t>
      </w:r>
      <w:proofErr w:type="spellStart"/>
      <w:r w:rsidR="00F357F2" w:rsidRPr="00F357F2">
        <w:rPr>
          <w:i/>
        </w:rPr>
        <w:t>principal</w:t>
      </w:r>
      <w:proofErr w:type="spellEnd"/>
      <w:r w:rsidR="00F357F2" w:rsidRPr="00F357F2">
        <w:rPr>
          <w:i/>
        </w:rPr>
        <w:t xml:space="preserve"> </w:t>
      </w:r>
      <w:proofErr w:type="spellStart"/>
      <w:r w:rsidR="00F357F2" w:rsidRPr="00F357F2">
        <w:rPr>
          <w:i/>
        </w:rPr>
        <w:t>Investigators</w:t>
      </w:r>
      <w:proofErr w:type="spellEnd"/>
      <w:r w:rsidR="00F357F2">
        <w:t xml:space="preserve"> </w:t>
      </w:r>
      <w:r w:rsidR="004A34FC">
        <w:t xml:space="preserve">leicht </w:t>
      </w:r>
      <w:r>
        <w:t>um</w:t>
      </w:r>
      <w:r w:rsidR="00783A8F">
        <w:t>strukturiert</w:t>
      </w:r>
      <w:r>
        <w:t>,</w:t>
      </w:r>
      <w:r w:rsidR="00783A8F">
        <w:t xml:space="preserve"> um eine bessere Lesbar</w:t>
      </w:r>
      <w:r w:rsidR="0023599E">
        <w:t>keit der Ansicht zu ermöglichen.</w:t>
      </w:r>
      <w:r w:rsidR="00250ABB">
        <w:t xml:space="preserve"> Abbildung 1 zeigt die Ansicht für ein fiktives Beispiel mit zwei Datensätzen.</w:t>
      </w:r>
    </w:p>
    <w:p w:rsidR="0023599E" w:rsidRDefault="0023599E"/>
    <w:p w:rsidR="00250ABB" w:rsidRDefault="00250ABB" w:rsidP="00250ABB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3A507CDB" wp14:editId="6E95BA9E">
            <wp:extent cx="5454328" cy="3933825"/>
            <wp:effectExtent l="19050" t="19050" r="1333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144" cy="3963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A8F" w:rsidRDefault="00250ABB" w:rsidP="00250AB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Ansicht eines Beispielprojektes mit zwei Datensätzen.</w:t>
      </w:r>
    </w:p>
    <w:p w:rsidR="00783A8F" w:rsidRDefault="00783A8F"/>
    <w:p w:rsidR="004F129C" w:rsidRDefault="004F129C"/>
    <w:p w:rsidR="00783A8F" w:rsidRDefault="00783A8F"/>
    <w:p w:rsidR="00783A8F" w:rsidRDefault="00250ABB">
      <w:r w:rsidRPr="00250ABB">
        <w:t xml:space="preserve">Die </w:t>
      </w:r>
      <w:r w:rsidR="004A34FC" w:rsidRPr="00FB3811">
        <w:t>Ansicht</w:t>
      </w:r>
      <w:r w:rsidR="004A34FC" w:rsidRPr="00250ABB">
        <w:rPr>
          <w:b/>
        </w:rPr>
        <w:t xml:space="preserve"> „</w:t>
      </w:r>
      <w:r w:rsidR="00A11124" w:rsidRPr="00250ABB">
        <w:rPr>
          <w:b/>
        </w:rPr>
        <w:t>H2020 DMP (Tabellarisch)</w:t>
      </w:r>
      <w:r w:rsidR="004A34FC" w:rsidRPr="00250ABB">
        <w:rPr>
          <w:b/>
        </w:rPr>
        <w:t>“</w:t>
      </w:r>
      <w:r w:rsidR="004A34FC">
        <w:t xml:space="preserve"> </w:t>
      </w:r>
      <w:r w:rsidR="00FB3811">
        <w:t xml:space="preserve">ist eine Variante. </w:t>
      </w:r>
      <w:r>
        <w:t xml:space="preserve">Sie </w:t>
      </w:r>
      <w:r w:rsidR="002E4A10">
        <w:t xml:space="preserve">organisiert die Antworten zu einzelnen Datensets tabellarisch. Dazu werden </w:t>
      </w:r>
      <w:r>
        <w:t xml:space="preserve">teilweise </w:t>
      </w:r>
      <w:r w:rsidR="002E4A10">
        <w:t xml:space="preserve">Antworten </w:t>
      </w:r>
      <w:r>
        <w:t xml:space="preserve">aus thematisch passenden Fragen im H2020-Template </w:t>
      </w:r>
      <w:r w:rsidR="002E4A10">
        <w:t>zusammengruppiert</w:t>
      </w:r>
      <w:r w:rsidR="00294B40">
        <w:t>. Dies ist in Abbildung</w:t>
      </w:r>
      <w:r w:rsidR="002E4A10">
        <w:t xml:space="preserve"> </w:t>
      </w:r>
      <w:r>
        <w:t>2</w:t>
      </w:r>
      <w:r w:rsidR="00294B40">
        <w:t xml:space="preserve"> beispielhaft dargestellt.</w:t>
      </w:r>
    </w:p>
    <w:p w:rsidR="004F129C" w:rsidRDefault="004F129C"/>
    <w:p w:rsidR="007608AD" w:rsidRDefault="007608AD" w:rsidP="007608AD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219BDA3" wp14:editId="12D32053">
            <wp:extent cx="5760720" cy="5170805"/>
            <wp:effectExtent l="19050" t="19050" r="11430" b="1079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A8F" w:rsidRDefault="007608AD" w:rsidP="007608AD">
      <w:pPr>
        <w:pStyle w:val="Beschriftung"/>
      </w:pPr>
      <w:r>
        <w:t xml:space="preserve">Abbildung </w:t>
      </w:r>
      <w:fldSimple w:instr=" SEQ Abbildung \* ARABIC ">
        <w:r w:rsidR="00250ABB">
          <w:rPr>
            <w:noProof/>
          </w:rPr>
          <w:t>2</w:t>
        </w:r>
      </w:fldSimple>
      <w:r>
        <w:t>: Beispiel für d</w:t>
      </w:r>
      <w:r w:rsidR="00933F51">
        <w:t>ie Anordnung der Antworten zu</w:t>
      </w:r>
      <w:r>
        <w:t xml:space="preserve"> einzelnen Datensets.</w:t>
      </w:r>
    </w:p>
    <w:p w:rsidR="004F129C" w:rsidRDefault="004F129C" w:rsidP="00294B40"/>
    <w:p w:rsidR="00294B40" w:rsidRDefault="00DC5348" w:rsidP="00250ABB">
      <w:pPr>
        <w:rPr>
          <w:noProof/>
          <w:lang w:eastAsia="de-DE"/>
        </w:rPr>
      </w:pPr>
      <w:r>
        <w:t xml:space="preserve">Einige der Ja/Nein-Antworten lassen sich nur schlecht in dieser Form darstellen. Sie wurden durch kurze </w:t>
      </w:r>
      <w:r w:rsidR="00A11124">
        <w:t>Textbausteine</w:t>
      </w:r>
      <w:r w:rsidR="00091862">
        <w:t xml:space="preserve"> (siehe den Aus</w:t>
      </w:r>
      <w:r>
        <w:t xml:space="preserve">schnitt unten) ersetzt. Diese </w:t>
      </w:r>
      <w:r w:rsidR="00A11124">
        <w:t xml:space="preserve">können im Django-Template </w:t>
      </w:r>
      <w:r>
        <w:t xml:space="preserve">bei Bedarf </w:t>
      </w:r>
      <w:r w:rsidR="00091862">
        <w:t>angepasst oder herausgenommen werden.</w:t>
      </w:r>
    </w:p>
    <w:p w:rsidR="00294B40" w:rsidRDefault="00294B40" w:rsidP="00294B40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05A1C586" wp14:editId="1E3AB025">
            <wp:extent cx="4981575" cy="1173460"/>
            <wp:effectExtent l="19050" t="19050" r="9525" b="273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379" cy="1180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5348" w:rsidRDefault="00DC5348" w:rsidP="00294B40">
      <w:pPr>
        <w:keepNext/>
      </w:pPr>
      <w:r>
        <w:rPr>
          <w:noProof/>
          <w:lang w:eastAsia="de-DE"/>
        </w:rPr>
        <w:drawing>
          <wp:inline distT="0" distB="0" distL="0" distR="0" wp14:anchorId="539BF5DF" wp14:editId="70F00A40">
            <wp:extent cx="4972050" cy="1301107"/>
            <wp:effectExtent l="19050" t="19050" r="19050" b="139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637" cy="1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A8F" w:rsidRDefault="00294B40" w:rsidP="00294B40">
      <w:pPr>
        <w:pStyle w:val="Beschriftung"/>
      </w:pPr>
      <w:r>
        <w:t xml:space="preserve">Abbildung </w:t>
      </w:r>
      <w:fldSimple w:instr=" SEQ Abbildung \* ARABIC ">
        <w:r w:rsidR="00250ABB">
          <w:rPr>
            <w:noProof/>
          </w:rPr>
          <w:t>3</w:t>
        </w:r>
      </w:fldSimple>
      <w:r>
        <w:t>: Beispiel für Text-Bausteine für Ja / Nein-Antworten; hier für die Frage, ob ethische oder rechtliche Grunde gegen das Teilen des Datensatzes mit anderen sprechen.</w:t>
      </w:r>
    </w:p>
    <w:p w:rsidR="00C526E7" w:rsidRPr="00C526E7" w:rsidRDefault="00C526E7">
      <w:pPr>
        <w:rPr>
          <w:b/>
        </w:rPr>
      </w:pPr>
      <w:r w:rsidRPr="00C526E7">
        <w:rPr>
          <w:b/>
        </w:rPr>
        <w:t>Wichtig:</w:t>
      </w:r>
    </w:p>
    <w:p w:rsidR="004A34FC" w:rsidRDefault="002E4A10">
      <w:r>
        <w:t xml:space="preserve">Bei der Verwendung </w:t>
      </w:r>
      <w:r w:rsidR="00783A8F">
        <w:t>dieser</w:t>
      </w:r>
      <w:r w:rsidR="00C526E7">
        <w:t xml:space="preserve"> tabellarischen</w:t>
      </w:r>
      <w:r>
        <w:t xml:space="preserve"> Ansicht ist zu bedenken, dass beim Export in unterschiedliche Formate </w:t>
      </w:r>
      <w:r w:rsidR="00783A8F">
        <w:t xml:space="preserve">(also nicht nach HTML) das Layout </w:t>
      </w:r>
      <w:r w:rsidR="00556813">
        <w:t xml:space="preserve">meist </w:t>
      </w:r>
      <w:r w:rsidR="00783A8F">
        <w:t>nicht eins-zu-eins übertragen werden kann.</w:t>
      </w:r>
      <w:r w:rsidR="00C526E7">
        <w:t xml:space="preserve"> </w:t>
      </w:r>
      <w:r w:rsidR="00FB3811">
        <w:t>Hier muss bislang leider immer händisch nachgebessert werden.</w:t>
      </w:r>
      <w:bookmarkStart w:id="0" w:name="_GoBack"/>
      <w:bookmarkEnd w:id="0"/>
    </w:p>
    <w:p w:rsidR="00556813" w:rsidRDefault="00556813"/>
    <w:p w:rsidR="00173F5B" w:rsidRDefault="00173F5B"/>
    <w:sectPr w:rsidR="00173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5B"/>
    <w:rsid w:val="0001206A"/>
    <w:rsid w:val="00091862"/>
    <w:rsid w:val="00173F5B"/>
    <w:rsid w:val="00191A99"/>
    <w:rsid w:val="0023599E"/>
    <w:rsid w:val="00250ABB"/>
    <w:rsid w:val="00294B40"/>
    <w:rsid w:val="002E4A10"/>
    <w:rsid w:val="0031128D"/>
    <w:rsid w:val="004A34FC"/>
    <w:rsid w:val="004F129C"/>
    <w:rsid w:val="00553A73"/>
    <w:rsid w:val="00556813"/>
    <w:rsid w:val="007608AD"/>
    <w:rsid w:val="00783A8F"/>
    <w:rsid w:val="00891EF6"/>
    <w:rsid w:val="008F2137"/>
    <w:rsid w:val="00933F51"/>
    <w:rsid w:val="009E14F0"/>
    <w:rsid w:val="00A11124"/>
    <w:rsid w:val="00AA20B8"/>
    <w:rsid w:val="00B74FF5"/>
    <w:rsid w:val="00C526E7"/>
    <w:rsid w:val="00DC5348"/>
    <w:rsid w:val="00EA6A77"/>
    <w:rsid w:val="00F357F2"/>
    <w:rsid w:val="00F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4D27"/>
  <w15:chartTrackingRefBased/>
  <w15:docId w15:val="{4E183759-F109-43D0-9B3C-64E5A59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4B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760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g-binding">
    <w:name w:val="ng-binding"/>
    <w:basedOn w:val="Absatz-Standardschriftart"/>
    <w:rsid w:val="00A11124"/>
  </w:style>
  <w:style w:type="paragraph" w:styleId="Titel">
    <w:name w:val="Title"/>
    <w:basedOn w:val="Standard"/>
    <w:next w:val="Standard"/>
    <w:link w:val="TitelZchn"/>
    <w:uiPriority w:val="10"/>
    <w:qFormat/>
    <w:rsid w:val="004F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Absatz-Standardschriftart"/>
    <w:uiPriority w:val="99"/>
    <w:semiHidden/>
    <w:unhideWhenUsed/>
    <w:rsid w:val="00933F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33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dmorganiser/rdmo-catalog/tree/master/shared/ub_fau_erlangen_nuernberg/eHum_H20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Erlangen-Nürnberg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Rohrwild, Jürgen (UB)</dc:creator>
  <cp:keywords/>
  <dc:description/>
  <cp:lastModifiedBy>Rohrwild, Jürgen (UB)</cp:lastModifiedBy>
  <cp:revision>2</cp:revision>
  <dcterms:created xsi:type="dcterms:W3CDTF">2020-09-23T11:52:00Z</dcterms:created>
  <dcterms:modified xsi:type="dcterms:W3CDTF">2020-09-23T11:52:00Z</dcterms:modified>
</cp:coreProperties>
</file>