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535B4" w14:textId="77777777" w:rsidR="00377CCC" w:rsidRDefault="00000000">
      <w:pPr>
        <w:spacing w:before="200" w:after="60"/>
      </w:pPr>
      <w:r>
        <w:rPr>
          <w:b/>
          <w:bCs/>
          <w:color w:val="1F4E79"/>
          <w:sz w:val="52"/>
          <w:szCs w:val="52"/>
        </w:rPr>
        <w:t>Big Organics</w:t>
      </w:r>
    </w:p>
    <w:p w14:paraId="49D96127" w14:textId="1D2F0E90" w:rsidR="00377CCC" w:rsidRDefault="00000000" w:rsidP="00BB6887">
      <w:pPr>
        <w:spacing w:after="60"/>
      </w:pPr>
      <w:r>
        <w:rPr>
          <w:color w:val="595959"/>
          <w:sz w:val="30"/>
          <w:szCs w:val="30"/>
        </w:rPr>
        <w:t>Customer &amp; Sales Analysis — Executive Summary</w:t>
      </w:r>
    </w:p>
    <w:p w14:paraId="3370E125" w14:textId="77777777" w:rsidR="00377CCC" w:rsidRDefault="00000000">
      <w:pPr>
        <w:pBdr>
          <w:bottom w:val="single" w:sz="4" w:space="6" w:color="CCCCCC"/>
        </w:pBdr>
        <w:spacing w:before="360" w:after="100"/>
      </w:pPr>
      <w:r>
        <w:rPr>
          <w:b/>
          <w:bCs/>
          <w:color w:val="1F4E79"/>
          <w:spacing w:val="40"/>
        </w:rPr>
        <w:t>OVERVIEW</w:t>
      </w:r>
    </w:p>
    <w:p w14:paraId="0C7A2954" w14:textId="77777777" w:rsidR="00377CCC" w:rsidRDefault="00000000">
      <w:pPr>
        <w:spacing w:before="80" w:after="80"/>
      </w:pPr>
      <w:r>
        <w:rPr>
          <w:color w:val="222222"/>
        </w:rPr>
        <w:t>Big Organics is a UK supermarket chain with a loyalty customer base of over 111,000 members. This analysis examines customer demographics, loyalty tier spending behavior, and organic product purchasing patterns to identify who the core customers are, which segments generate the most revenue, and where the greatest opportunities for growth exist.</w:t>
      </w:r>
    </w:p>
    <w:p w14:paraId="459029AC" w14:textId="77777777" w:rsidR="00377CCC" w:rsidRDefault="00377CCC">
      <w:pPr>
        <w:spacing w:before="100"/>
      </w:pPr>
    </w:p>
    <w:p w14:paraId="469B8121" w14:textId="77777777" w:rsidR="00377CCC" w:rsidRDefault="00000000">
      <w:pPr>
        <w:pBdr>
          <w:bottom w:val="single" w:sz="4" w:space="6" w:color="CCCCCC"/>
        </w:pBdr>
        <w:spacing w:before="360" w:after="100"/>
      </w:pPr>
      <w:r>
        <w:rPr>
          <w:b/>
          <w:bCs/>
          <w:color w:val="1F4E79"/>
          <w:spacing w:val="40"/>
        </w:rPr>
        <w:t>CUSTOMER DEMOGRAPHICS</w:t>
      </w:r>
    </w:p>
    <w:p w14:paraId="56B59A11" w14:textId="77777777" w:rsidR="00377CCC" w:rsidRDefault="00000000">
      <w:pPr>
        <w:spacing w:before="80" w:after="80"/>
      </w:pPr>
      <w:r>
        <w:rPr>
          <w:color w:val="222222"/>
        </w:rPr>
        <w:t>The Big Organics customer base is predominantly older and female, concentrated in lower-to-middle income households. The 51+ age group is the largest demographic at roughly 68,000 customers, followed by the 36–50 group at approximately 33,000. Customers under 35 represent a small minority. Female customers account for 54.7% of the base, with males at 26.7% and the remainder having unknown gender data.</w:t>
      </w:r>
    </w:p>
    <w:p w14:paraId="0FE4582B" w14:textId="77777777" w:rsidR="00377CCC" w:rsidRDefault="00377CCC">
      <w:pPr>
        <w:spacing w:before="100"/>
      </w:pPr>
    </w:p>
    <w:p w14:paraId="461722DE" w14:textId="77777777" w:rsidR="00377CCC" w:rsidRDefault="00000000">
      <w:pPr>
        <w:spacing w:before="80" w:after="80"/>
      </w:pPr>
      <w:r>
        <w:rPr>
          <w:color w:val="222222"/>
        </w:rPr>
        <w:t>From an income standpoint, most customers fall within the medium affluence band (~59,000), followed by low affluence (~41,000). High-affluence customers are a small but meaningful segment of approximately 5,700.</w:t>
      </w:r>
    </w:p>
    <w:p w14:paraId="00A16FCD" w14:textId="77777777" w:rsidR="00377CCC" w:rsidRDefault="00377CCC">
      <w:pPr>
        <w:spacing w:before="100"/>
      </w:pPr>
    </w:p>
    <w:p w14:paraId="4C4AB415" w14:textId="77777777" w:rsidR="00377CCC" w:rsidRDefault="00000000">
      <w:pPr>
        <w:spacing w:before="80" w:after="80"/>
      </w:pPr>
      <w:r>
        <w:rPr>
          <w:color w:val="222222"/>
        </w:rPr>
        <w:t>Geographically, the Southeast and Midlands regions drive the bulk of both customer volume and revenue. The Southeast leads with 43,170 customers and approximately $200.6M in total spend, followed by Midlands with 33,704 customers and $144M. North contributes around $88M. Scotland and the Southwest together account for under 10% of customers and revenue.</w:t>
      </w:r>
    </w:p>
    <w:p w14:paraId="68EB74B3" w14:textId="77777777" w:rsidR="00377CCC" w:rsidRDefault="00377CCC">
      <w:pPr>
        <w:spacing w:before="100"/>
      </w:pPr>
    </w:p>
    <w:p w14:paraId="2BE8F1FC" w14:textId="77777777" w:rsidR="00377CCC" w:rsidRDefault="00000000">
      <w:pPr>
        <w:pBdr>
          <w:bottom w:val="single" w:sz="4" w:space="6" w:color="CCCCCC"/>
        </w:pBdr>
        <w:spacing w:before="360" w:after="100"/>
      </w:pPr>
      <w:r>
        <w:rPr>
          <w:b/>
          <w:bCs/>
          <w:color w:val="1F4E79"/>
          <w:spacing w:val="40"/>
        </w:rPr>
        <w:t>LOYALTY TIER &amp; SPENDING BEHAVIOR</w:t>
      </w:r>
    </w:p>
    <w:p w14:paraId="22982D29" w14:textId="77777777" w:rsidR="00377CCC" w:rsidRDefault="00000000">
      <w:pPr>
        <w:spacing w:before="80" w:after="80"/>
      </w:pPr>
      <w:r>
        <w:rPr>
          <w:color w:val="222222"/>
        </w:rPr>
        <w:t>Big Organics operates a four-tier loyalty program — Tin, Silver, Gold, and Platinum. Silver customers make up the largest share at 38.6%, followed by Tin at 29.2% and Gold at 28.5%. Platinum is a small but high-value segment at 3.8%.</w:t>
      </w:r>
    </w:p>
    <w:p w14:paraId="430944DA" w14:textId="77777777" w:rsidR="00377CCC" w:rsidRDefault="00377CCC">
      <w:pPr>
        <w:spacing w:before="100"/>
      </w:pPr>
    </w:p>
    <w:p w14:paraId="55A3398F" w14:textId="77777777" w:rsidR="00377CCC" w:rsidRDefault="00000000">
      <w:pPr>
        <w:spacing w:before="80" w:after="80"/>
      </w:pPr>
      <w:r>
        <w:rPr>
          <w:color w:val="222222"/>
        </w:rPr>
        <w:t>Despite Silver being the most populous tier, Gold customers are the primary revenue driver, generating approximately $278M in total spend. Platinum customers, though few in number, carry the highest per-customer value at around $30,000 average spend. Silver customers average only $1,900 per customer, and Tin customers contribute minimally. The business is heavily dependent on Gold and Platinum for revenue, while Silver and Tin drive volume without proportionate financial return.</w:t>
      </w:r>
    </w:p>
    <w:p w14:paraId="71E3FF09" w14:textId="77777777" w:rsidR="00377CCC" w:rsidRDefault="00377CCC">
      <w:pPr>
        <w:spacing w:before="100"/>
      </w:pPr>
    </w:p>
    <w:p w14:paraId="52BBDF2D" w14:textId="77777777" w:rsidR="00377CCC" w:rsidRDefault="00000000">
      <w:pPr>
        <w:spacing w:before="80" w:after="80"/>
      </w:pPr>
      <w:r>
        <w:rPr>
          <w:color w:val="222222"/>
        </w:rPr>
        <w:lastRenderedPageBreak/>
        <w:t>Loyalty card tenure data shows that most customers have been enrolled for only 3 to 8 months, with the highest concentration between 4 and 6 months. Very few members have tenures beyond 20 months. This signals a predominantly new customer base with limited long-term retention established to date.</w:t>
      </w:r>
    </w:p>
    <w:p w14:paraId="0C6D9233" w14:textId="77777777" w:rsidR="00377CCC" w:rsidRDefault="00377CCC">
      <w:pPr>
        <w:spacing w:before="100"/>
      </w:pPr>
    </w:p>
    <w:p w14:paraId="628E61A0" w14:textId="77777777" w:rsidR="00377CCC" w:rsidRDefault="00000000">
      <w:pPr>
        <w:pBdr>
          <w:bottom w:val="single" w:sz="4" w:space="6" w:color="CCCCCC"/>
        </w:pBdr>
        <w:spacing w:before="360" w:after="100"/>
      </w:pPr>
      <w:r>
        <w:rPr>
          <w:b/>
          <w:bCs/>
          <w:color w:val="1F4E79"/>
          <w:spacing w:val="40"/>
        </w:rPr>
        <w:t>CUSTOMER SEGMENT ANALYSIS</w:t>
      </w:r>
    </w:p>
    <w:p w14:paraId="0B4432AF" w14:textId="77777777" w:rsidR="00377CCC" w:rsidRDefault="00000000">
      <w:pPr>
        <w:spacing w:before="80" w:after="80"/>
      </w:pPr>
      <w:r>
        <w:rPr>
          <w:color w:val="222222"/>
        </w:rPr>
        <w:t>A behavioral cluster analysis revealed five distinct customer profiles. The two highest-value segments — Cluster 3 (older, Platinum-loyal, ~$27,800 average spend) and Cluster 4 (older, Gold-loyal, consistently high spend) — represent the core of the business's revenue base and warrant prioritized retention efforts. Cluster 1, the largest and most stable group, consists of middle-aged, Silver-tier customers with moderate spending. Clusters 2 and 5 are lower-value segments composed of younger Tin and Silver customers with minimal engagement, but they represent a long-term conversion opportunity.</w:t>
      </w:r>
    </w:p>
    <w:p w14:paraId="52592B34" w14:textId="77777777" w:rsidR="00377CCC" w:rsidRDefault="00377CCC">
      <w:pPr>
        <w:spacing w:before="100"/>
      </w:pPr>
    </w:p>
    <w:p w14:paraId="41DB5C9B" w14:textId="77777777" w:rsidR="00377CCC" w:rsidRDefault="00000000">
      <w:pPr>
        <w:pBdr>
          <w:bottom w:val="single" w:sz="4" w:space="6" w:color="CCCCCC"/>
        </w:pBdr>
        <w:spacing w:before="360" w:after="100"/>
      </w:pPr>
      <w:r>
        <w:rPr>
          <w:b/>
          <w:bCs/>
          <w:color w:val="1F4E79"/>
          <w:spacing w:val="40"/>
        </w:rPr>
        <w:t>ORGANIC PRODUCT PURCHASING</w:t>
      </w:r>
    </w:p>
    <w:p w14:paraId="177C83AC" w14:textId="67829991" w:rsidR="00377CCC" w:rsidRDefault="00BB6887">
      <w:pPr>
        <w:spacing w:before="80" w:after="80"/>
      </w:pPr>
      <w:r>
        <w:rPr>
          <w:color w:val="222222"/>
        </w:rPr>
        <w:t>Most</w:t>
      </w:r>
      <w:r w:rsidR="00000000">
        <w:rPr>
          <w:color w:val="222222"/>
        </w:rPr>
        <w:t xml:space="preserve"> customers across all segments did not purchase from the organic product line. Volume of organic purchases is highest among Silver and Tin customers, but this reflects their population size rather than stronger purchasing behavior. When viewed proportionally, organic purchase rates are consistent across all loyalty tiers and regions — meaning neither geography nor loyalty status reliably predicts organic buying intent.</w:t>
      </w:r>
    </w:p>
    <w:p w14:paraId="1ED41D67" w14:textId="77777777" w:rsidR="00377CCC" w:rsidRDefault="00377CCC">
      <w:pPr>
        <w:spacing w:before="100"/>
      </w:pPr>
    </w:p>
    <w:p w14:paraId="4A78A992" w14:textId="77777777" w:rsidR="00377CCC" w:rsidRDefault="00000000">
      <w:pPr>
        <w:spacing w:before="80" w:after="80"/>
      </w:pPr>
      <w:r>
        <w:rPr>
          <w:color w:val="222222"/>
        </w:rPr>
        <w:t>The clearest organic buyer profile is female customers aged 36–50 and 51+, who represent the largest organic consumer group. Male customers and those under 35 show low engagement with the product line. A predictive model developed from the data identified three factors most associated with organic purchasing: female gender, higher affluence, and younger age — suggesting the organic line has meaningful upside with affluent, younger women who are currently underrepresented in the broader customer base.</w:t>
      </w:r>
    </w:p>
    <w:p w14:paraId="120E25E0" w14:textId="77777777" w:rsidR="00377CCC" w:rsidRDefault="00377CCC">
      <w:pPr>
        <w:spacing w:before="100"/>
      </w:pPr>
    </w:p>
    <w:p w14:paraId="43CFC210" w14:textId="77777777" w:rsidR="00377CCC" w:rsidRDefault="00000000">
      <w:pPr>
        <w:pBdr>
          <w:bottom w:val="single" w:sz="4" w:space="6" w:color="CCCCCC"/>
        </w:pBdr>
        <w:spacing w:before="360" w:after="100"/>
      </w:pPr>
      <w:r>
        <w:rPr>
          <w:b/>
          <w:bCs/>
          <w:color w:val="1F4E79"/>
          <w:spacing w:val="40"/>
        </w:rPr>
        <w:t>RECOMMENDATIONS</w:t>
      </w:r>
    </w:p>
    <w:p w14:paraId="1454C8CA" w14:textId="77777777" w:rsidR="00377CCC" w:rsidRDefault="00377CC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77CCC" w14:paraId="5FBB9CD2" w14:textId="77777777">
        <w:tblPrEx>
          <w:tblCellMar>
            <w:top w:w="0" w:type="dxa"/>
            <w:bottom w:w="0" w:type="dxa"/>
          </w:tblCellMar>
        </w:tblPrEx>
        <w:tc>
          <w:tcPr>
            <w:tcW w:w="3200" w:type="dxa"/>
            <w:tcBorders>
              <w:top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3A7B338" w14:textId="77777777" w:rsidR="00377CCC" w:rsidRDefault="00000000">
            <w:r>
              <w:rPr>
                <w:b/>
                <w:bCs/>
                <w:color w:val="FFFFFF"/>
                <w:sz w:val="20"/>
                <w:szCs w:val="20"/>
              </w:rPr>
              <w:t>Priority Area</w:t>
            </w:r>
          </w:p>
        </w:tc>
        <w:tc>
          <w:tcPr>
            <w:tcW w:w="6160" w:type="dxa"/>
            <w:tcBorders>
              <w:top w:val="single" w:sz="1" w:space="0" w:color="CCCCCC"/>
              <w:left w:val="single" w:sz="1" w:space="0" w:color="CCCCCC"/>
              <w:bottom w:val="single" w:sz="1" w:space="0" w:color="CCCCCC"/>
            </w:tcBorders>
            <w:shd w:val="clear" w:color="auto" w:fill="1F4E79"/>
            <w:tcMar>
              <w:top w:w="100" w:type="dxa"/>
              <w:left w:w="140" w:type="dxa"/>
              <w:bottom w:w="100" w:type="dxa"/>
              <w:right w:w="140" w:type="dxa"/>
            </w:tcMar>
          </w:tcPr>
          <w:p w14:paraId="239329E9" w14:textId="77777777" w:rsidR="00377CCC" w:rsidRDefault="00000000">
            <w:r>
              <w:rPr>
                <w:b/>
                <w:bCs/>
                <w:color w:val="FFFFFF"/>
                <w:sz w:val="20"/>
                <w:szCs w:val="20"/>
              </w:rPr>
              <w:t>Recommended Action</w:t>
            </w:r>
          </w:p>
        </w:tc>
      </w:tr>
      <w:tr w:rsidR="00377CCC" w14:paraId="251378C2" w14:textId="77777777">
        <w:tblPrEx>
          <w:tblCellMar>
            <w:top w:w="0" w:type="dxa"/>
            <w:bottom w:w="0" w:type="dxa"/>
          </w:tblCellMar>
        </w:tblPrEx>
        <w:tc>
          <w:tcPr>
            <w:tcW w:w="3200" w:type="dxa"/>
            <w:tcBorders>
              <w:top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B7C0193" w14:textId="77777777" w:rsidR="00377CCC" w:rsidRDefault="00000000">
            <w:r>
              <w:rPr>
                <w:b/>
                <w:bCs/>
                <w:color w:val="1F4E79"/>
                <w:sz w:val="20"/>
                <w:szCs w:val="20"/>
              </w:rPr>
              <w:t>Retention — Gold &amp; Platinum</w:t>
            </w:r>
          </w:p>
        </w:tc>
        <w:tc>
          <w:tcPr>
            <w:tcW w:w="6160" w:type="dxa"/>
            <w:tcBorders>
              <w:top w:val="single" w:sz="1" w:space="0" w:color="CCCCCC"/>
              <w:left w:val="single" w:sz="1" w:space="0" w:color="CCCCCC"/>
              <w:bottom w:val="single" w:sz="1" w:space="0" w:color="CCCCCC"/>
            </w:tcBorders>
            <w:shd w:val="clear" w:color="auto" w:fill="FFFFFF"/>
            <w:tcMar>
              <w:top w:w="100" w:type="dxa"/>
              <w:left w:w="140" w:type="dxa"/>
              <w:bottom w:w="100" w:type="dxa"/>
              <w:right w:w="140" w:type="dxa"/>
            </w:tcMar>
          </w:tcPr>
          <w:p w14:paraId="1F5543B7" w14:textId="7CA4A736" w:rsidR="00377CCC" w:rsidRDefault="00000000">
            <w:r>
              <w:rPr>
                <w:color w:val="333333"/>
                <w:sz w:val="20"/>
                <w:szCs w:val="20"/>
              </w:rPr>
              <w:t xml:space="preserve">Implement dedicated loyalty incentives and personalized outreach for top-tier customers. These segments drive </w:t>
            </w:r>
            <w:r w:rsidR="00BB6887">
              <w:rPr>
                <w:color w:val="333333"/>
                <w:sz w:val="20"/>
                <w:szCs w:val="20"/>
              </w:rPr>
              <w:t>most of the</w:t>
            </w:r>
            <w:r>
              <w:rPr>
                <w:color w:val="333333"/>
                <w:sz w:val="20"/>
                <w:szCs w:val="20"/>
              </w:rPr>
              <w:t xml:space="preserve"> revenue and are </w:t>
            </w:r>
            <w:r w:rsidR="00BB6887">
              <w:rPr>
                <w:color w:val="333333"/>
                <w:sz w:val="20"/>
                <w:szCs w:val="20"/>
              </w:rPr>
              <w:t>highest risk</w:t>
            </w:r>
            <w:r>
              <w:rPr>
                <w:color w:val="333333"/>
                <w:sz w:val="20"/>
                <w:szCs w:val="20"/>
              </w:rPr>
              <w:t xml:space="preserve"> if lost.</w:t>
            </w:r>
          </w:p>
        </w:tc>
      </w:tr>
      <w:tr w:rsidR="00377CCC" w14:paraId="1B947B54" w14:textId="77777777">
        <w:tblPrEx>
          <w:tblCellMar>
            <w:top w:w="0" w:type="dxa"/>
            <w:bottom w:w="0" w:type="dxa"/>
          </w:tblCellMar>
        </w:tblPrEx>
        <w:tc>
          <w:tcPr>
            <w:tcW w:w="3200" w:type="dxa"/>
            <w:tcBorders>
              <w:top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70C6392" w14:textId="77777777" w:rsidR="00377CCC" w:rsidRDefault="00000000">
            <w:r>
              <w:rPr>
                <w:b/>
                <w:bCs/>
                <w:color w:val="1F4E79"/>
                <w:sz w:val="20"/>
                <w:szCs w:val="20"/>
              </w:rPr>
              <w:t>Tier Conversion — Silver</w:t>
            </w:r>
          </w:p>
        </w:tc>
        <w:tc>
          <w:tcPr>
            <w:tcW w:w="6160" w:type="dxa"/>
            <w:tcBorders>
              <w:top w:val="single" w:sz="1" w:space="0" w:color="CCCCCC"/>
              <w:left w:val="single" w:sz="1" w:space="0" w:color="CCCCCC"/>
              <w:bottom w:val="single" w:sz="1" w:space="0" w:color="CCCCCC"/>
            </w:tcBorders>
            <w:shd w:val="clear" w:color="auto" w:fill="FFFFFF"/>
            <w:tcMar>
              <w:top w:w="100" w:type="dxa"/>
              <w:left w:w="140" w:type="dxa"/>
              <w:bottom w:w="100" w:type="dxa"/>
              <w:right w:w="140" w:type="dxa"/>
            </w:tcMar>
          </w:tcPr>
          <w:p w14:paraId="3154C19D" w14:textId="77777777" w:rsidR="00377CCC" w:rsidRDefault="00000000">
            <w:r>
              <w:rPr>
                <w:color w:val="333333"/>
                <w:sz w:val="20"/>
                <w:szCs w:val="20"/>
              </w:rPr>
              <w:t>Launch targeted promotions designed to move Silver customers toward Gold-level spending behavior. Silver represents the single largest customer pool with significant untapped value.</w:t>
            </w:r>
          </w:p>
        </w:tc>
      </w:tr>
      <w:tr w:rsidR="00377CCC" w14:paraId="31E80A15" w14:textId="77777777">
        <w:tblPrEx>
          <w:tblCellMar>
            <w:top w:w="0" w:type="dxa"/>
            <w:bottom w:w="0" w:type="dxa"/>
          </w:tblCellMar>
        </w:tblPrEx>
        <w:tc>
          <w:tcPr>
            <w:tcW w:w="3200" w:type="dxa"/>
            <w:tcBorders>
              <w:top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A4C1072" w14:textId="77777777" w:rsidR="00377CCC" w:rsidRDefault="00000000">
            <w:r>
              <w:rPr>
                <w:b/>
                <w:bCs/>
                <w:color w:val="1F4E79"/>
                <w:sz w:val="20"/>
                <w:szCs w:val="20"/>
              </w:rPr>
              <w:lastRenderedPageBreak/>
              <w:t>New Member Onboarding</w:t>
            </w:r>
          </w:p>
        </w:tc>
        <w:tc>
          <w:tcPr>
            <w:tcW w:w="6160" w:type="dxa"/>
            <w:tcBorders>
              <w:top w:val="single" w:sz="1" w:space="0" w:color="CCCCCC"/>
              <w:left w:val="single" w:sz="1" w:space="0" w:color="CCCCCC"/>
              <w:bottom w:val="single" w:sz="1" w:space="0" w:color="CCCCCC"/>
            </w:tcBorders>
            <w:shd w:val="clear" w:color="auto" w:fill="FFFFFF"/>
            <w:tcMar>
              <w:top w:w="100" w:type="dxa"/>
              <w:left w:w="140" w:type="dxa"/>
              <w:bottom w:w="100" w:type="dxa"/>
              <w:right w:w="140" w:type="dxa"/>
            </w:tcMar>
          </w:tcPr>
          <w:p w14:paraId="431FB177" w14:textId="77777777" w:rsidR="00377CCC" w:rsidRDefault="00000000">
            <w:r>
              <w:rPr>
                <w:color w:val="333333"/>
                <w:sz w:val="20"/>
                <w:szCs w:val="20"/>
              </w:rPr>
              <w:t>Develop structured engagement campaigns for customers in their first 90 days. Given that most loyalty tenures fall under 6 months, early retention is critical.</w:t>
            </w:r>
          </w:p>
        </w:tc>
      </w:tr>
      <w:tr w:rsidR="00377CCC" w14:paraId="1037CDDF" w14:textId="77777777">
        <w:tblPrEx>
          <w:tblCellMar>
            <w:top w:w="0" w:type="dxa"/>
            <w:bottom w:w="0" w:type="dxa"/>
          </w:tblCellMar>
        </w:tblPrEx>
        <w:tc>
          <w:tcPr>
            <w:tcW w:w="3200" w:type="dxa"/>
            <w:tcBorders>
              <w:top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DD79807" w14:textId="77777777" w:rsidR="00377CCC" w:rsidRDefault="00000000">
            <w:r>
              <w:rPr>
                <w:b/>
                <w:bCs/>
                <w:color w:val="1F4E79"/>
                <w:sz w:val="20"/>
                <w:szCs w:val="20"/>
              </w:rPr>
              <w:t>Regional Investment</w:t>
            </w:r>
          </w:p>
        </w:tc>
        <w:tc>
          <w:tcPr>
            <w:tcW w:w="6160" w:type="dxa"/>
            <w:tcBorders>
              <w:top w:val="single" w:sz="1" w:space="0" w:color="CCCCCC"/>
              <w:left w:val="single" w:sz="1" w:space="0" w:color="CCCCCC"/>
              <w:bottom w:val="single" w:sz="1" w:space="0" w:color="CCCCCC"/>
            </w:tcBorders>
            <w:shd w:val="clear" w:color="auto" w:fill="FFFFFF"/>
            <w:tcMar>
              <w:top w:w="100" w:type="dxa"/>
              <w:left w:w="140" w:type="dxa"/>
              <w:bottom w:w="100" w:type="dxa"/>
              <w:right w:w="140" w:type="dxa"/>
            </w:tcMar>
          </w:tcPr>
          <w:p w14:paraId="42F01A90" w14:textId="77777777" w:rsidR="00377CCC" w:rsidRDefault="00000000">
            <w:r>
              <w:rPr>
                <w:color w:val="333333"/>
                <w:sz w:val="20"/>
                <w:szCs w:val="20"/>
              </w:rPr>
              <w:t>Prioritize resource allocation and potential expansion in the Southeast and Midlands, which consistently outperform on both volume and spend.</w:t>
            </w:r>
          </w:p>
        </w:tc>
      </w:tr>
      <w:tr w:rsidR="00377CCC" w14:paraId="3DCBA2E3" w14:textId="77777777">
        <w:tblPrEx>
          <w:tblCellMar>
            <w:top w:w="0" w:type="dxa"/>
            <w:bottom w:w="0" w:type="dxa"/>
          </w:tblCellMar>
        </w:tblPrEx>
        <w:tc>
          <w:tcPr>
            <w:tcW w:w="3200" w:type="dxa"/>
            <w:tcBorders>
              <w:top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7E1A965" w14:textId="77777777" w:rsidR="00377CCC" w:rsidRDefault="00000000">
            <w:r>
              <w:rPr>
                <w:b/>
                <w:bCs/>
                <w:color w:val="1F4E79"/>
                <w:sz w:val="20"/>
                <w:szCs w:val="20"/>
              </w:rPr>
              <w:t>Organic Line Marketing</w:t>
            </w:r>
          </w:p>
        </w:tc>
        <w:tc>
          <w:tcPr>
            <w:tcW w:w="6160" w:type="dxa"/>
            <w:tcBorders>
              <w:top w:val="single" w:sz="1" w:space="0" w:color="CCCCCC"/>
              <w:left w:val="single" w:sz="1" w:space="0" w:color="CCCCCC"/>
              <w:bottom w:val="single" w:sz="1" w:space="0" w:color="CCCCCC"/>
            </w:tcBorders>
            <w:shd w:val="clear" w:color="auto" w:fill="FFFFFF"/>
            <w:tcMar>
              <w:top w:w="100" w:type="dxa"/>
              <w:left w:w="140" w:type="dxa"/>
              <w:bottom w:w="100" w:type="dxa"/>
              <w:right w:w="140" w:type="dxa"/>
            </w:tcMar>
          </w:tcPr>
          <w:p w14:paraId="372C692D" w14:textId="77777777" w:rsidR="00377CCC" w:rsidRDefault="00000000">
            <w:r>
              <w:rPr>
                <w:color w:val="333333"/>
                <w:sz w:val="20"/>
                <w:szCs w:val="20"/>
              </w:rPr>
              <w:t>Focus organic product promotions on female customers aged 36+. Broad-based campaigns are unlikely to drive meaningful lift given low cross-segment engagement.</w:t>
            </w:r>
          </w:p>
        </w:tc>
      </w:tr>
    </w:tbl>
    <w:p w14:paraId="4834B981" w14:textId="77777777" w:rsidR="00377CCC" w:rsidRDefault="00377CCC">
      <w:pPr>
        <w:spacing w:before="100"/>
      </w:pPr>
    </w:p>
    <w:p w14:paraId="29BD57F1" w14:textId="77777777" w:rsidR="00377CCC" w:rsidRDefault="00377CCC">
      <w:pPr>
        <w:spacing w:before="100"/>
      </w:pPr>
    </w:p>
    <w:p w14:paraId="5FE3765D" w14:textId="77777777" w:rsidR="00377CCC" w:rsidRDefault="00000000">
      <w:pPr>
        <w:pBdr>
          <w:bottom w:val="single" w:sz="4" w:space="6" w:color="CCCCCC"/>
        </w:pBdr>
        <w:spacing w:before="360" w:after="100"/>
      </w:pPr>
      <w:r>
        <w:rPr>
          <w:b/>
          <w:bCs/>
          <w:color w:val="1F4E79"/>
          <w:spacing w:val="40"/>
        </w:rPr>
        <w:t>SUMMARY</w:t>
      </w:r>
    </w:p>
    <w:p w14:paraId="3440C85E" w14:textId="77777777" w:rsidR="00377CCC" w:rsidRDefault="00000000">
      <w:pPr>
        <w:spacing w:before="80" w:after="80"/>
      </w:pPr>
      <w:r>
        <w:rPr>
          <w:color w:val="222222"/>
        </w:rPr>
        <w:t>Big Organics has a well-defined customer profile — older, female, moderate income, and geographically concentrated in southeastern England — but faces meaningful challenges around loyalty depth and revenue distribution. Gold and Platinum customers are essential to financial performance despite comprising a minority of the base. The organic product line remains underpenetrated, with a clear and targetable audience that current marketing has not fully reached. Addressing retention, tier conversion, and demographic-focused marketing represents the strongest path to sustained growth.</w:t>
      </w:r>
    </w:p>
    <w:p w14:paraId="34539E48" w14:textId="77777777" w:rsidR="00377CCC" w:rsidRDefault="00377CCC">
      <w:pPr>
        <w:spacing w:before="100"/>
      </w:pPr>
    </w:p>
    <w:sectPr w:rsidR="00377CC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89439" w14:textId="77777777" w:rsidR="00CD19C9" w:rsidRDefault="00CD19C9">
      <w:r>
        <w:separator/>
      </w:r>
    </w:p>
  </w:endnote>
  <w:endnote w:type="continuationSeparator" w:id="0">
    <w:p w14:paraId="608341F7" w14:textId="77777777" w:rsidR="00CD19C9" w:rsidRDefault="00CD1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9368" w14:textId="191F9F85" w:rsidR="00377CCC" w:rsidRDefault="00377CCC" w:rsidP="00BB6887">
    <w:pPr>
      <w:pBdr>
        <w:top w:val="single" w:sz="4" w:space="6" w:color="CCCCCC"/>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C7F0D" w14:textId="77777777" w:rsidR="00CD19C9" w:rsidRDefault="00CD19C9">
      <w:r>
        <w:separator/>
      </w:r>
    </w:p>
  </w:footnote>
  <w:footnote w:type="continuationSeparator" w:id="0">
    <w:p w14:paraId="331B3B3E" w14:textId="77777777" w:rsidR="00CD19C9" w:rsidRDefault="00CD1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4D54" w14:textId="68C54B7D" w:rsidR="00377CCC" w:rsidRDefault="00000000">
    <w:pPr>
      <w:pBdr>
        <w:bottom w:val="single" w:sz="4" w:space="8" w:color="CCCCCC"/>
      </w:pBdr>
      <w:rPr>
        <w:i/>
        <w:iCs/>
        <w:color w:val="595959"/>
        <w:sz w:val="18"/>
        <w:szCs w:val="18"/>
      </w:rPr>
    </w:pPr>
    <w:r>
      <w:rPr>
        <w:color w:val="595959"/>
        <w:sz w:val="18"/>
        <w:szCs w:val="18"/>
      </w:rPr>
      <w:t xml:space="preserve">Big </w:t>
    </w:r>
    <w:r w:rsidR="00BB6887">
      <w:rPr>
        <w:color w:val="595959"/>
        <w:sz w:val="18"/>
        <w:szCs w:val="18"/>
      </w:rPr>
      <w:t>Organics | Customer</w:t>
    </w:r>
    <w:r>
      <w:rPr>
        <w:color w:val="595959"/>
        <w:sz w:val="18"/>
        <w:szCs w:val="18"/>
      </w:rPr>
      <w:t xml:space="preserve"> &amp; Sales Analysis</w:t>
    </w:r>
    <w:r>
      <w:rPr>
        <w:i/>
        <w:iCs/>
        <w:color w:val="595959"/>
        <w:sz w:val="18"/>
        <w:szCs w:val="18"/>
      </w:rPr>
      <w:t xml:space="preserve"> </w:t>
    </w:r>
    <w:r w:rsidR="00BB6887">
      <w:rPr>
        <w:i/>
        <w:iCs/>
        <w:color w:val="595959"/>
        <w:sz w:val="18"/>
        <w:szCs w:val="18"/>
      </w:rPr>
      <w:t>|</w:t>
    </w:r>
    <w:r>
      <w:rPr>
        <w:i/>
        <w:iCs/>
        <w:color w:val="595959"/>
        <w:sz w:val="18"/>
        <w:szCs w:val="18"/>
      </w:rPr>
      <w:t xml:space="preserve"> Executive Summary</w:t>
    </w:r>
  </w:p>
  <w:p w14:paraId="3ECDF72B" w14:textId="77777777" w:rsidR="00BB6887" w:rsidRDefault="00BB6887">
    <w:pPr>
      <w:pBdr>
        <w:bottom w:val="single" w:sz="4" w:space="8" w:color="CCCCC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D262F"/>
    <w:multiLevelType w:val="hybridMultilevel"/>
    <w:tmpl w:val="3C0CE7BE"/>
    <w:lvl w:ilvl="0" w:tplc="18327C10">
      <w:start w:val="1"/>
      <w:numFmt w:val="bullet"/>
      <w:lvlText w:val="–"/>
      <w:lvlJc w:val="left"/>
      <w:pPr>
        <w:ind w:left="560" w:hanging="280"/>
      </w:pPr>
    </w:lvl>
    <w:lvl w:ilvl="1" w:tplc="07803C52">
      <w:numFmt w:val="decimal"/>
      <w:lvlText w:val=""/>
      <w:lvlJc w:val="left"/>
    </w:lvl>
    <w:lvl w:ilvl="2" w:tplc="6F2091CE">
      <w:numFmt w:val="decimal"/>
      <w:lvlText w:val=""/>
      <w:lvlJc w:val="left"/>
    </w:lvl>
    <w:lvl w:ilvl="3" w:tplc="051081BC">
      <w:numFmt w:val="decimal"/>
      <w:lvlText w:val=""/>
      <w:lvlJc w:val="left"/>
    </w:lvl>
    <w:lvl w:ilvl="4" w:tplc="8D78AA4C">
      <w:numFmt w:val="decimal"/>
      <w:lvlText w:val=""/>
      <w:lvlJc w:val="left"/>
    </w:lvl>
    <w:lvl w:ilvl="5" w:tplc="9738C7A0">
      <w:numFmt w:val="decimal"/>
      <w:lvlText w:val=""/>
      <w:lvlJc w:val="left"/>
    </w:lvl>
    <w:lvl w:ilvl="6" w:tplc="D0361D7E">
      <w:numFmt w:val="decimal"/>
      <w:lvlText w:val=""/>
      <w:lvlJc w:val="left"/>
    </w:lvl>
    <w:lvl w:ilvl="7" w:tplc="DE54E9F4">
      <w:numFmt w:val="decimal"/>
      <w:lvlText w:val=""/>
      <w:lvlJc w:val="left"/>
    </w:lvl>
    <w:lvl w:ilvl="8" w:tplc="B8623EFC">
      <w:numFmt w:val="decimal"/>
      <w:lvlText w:val=""/>
      <w:lvlJc w:val="left"/>
    </w:lvl>
  </w:abstractNum>
  <w:abstractNum w:abstractNumId="1" w15:restartNumberingAfterBreak="0">
    <w:nsid w:val="73F554FE"/>
    <w:multiLevelType w:val="hybridMultilevel"/>
    <w:tmpl w:val="D1C636B0"/>
    <w:lvl w:ilvl="0" w:tplc="5B78A7DE">
      <w:start w:val="1"/>
      <w:numFmt w:val="bullet"/>
      <w:lvlText w:val="●"/>
      <w:lvlJc w:val="left"/>
      <w:pPr>
        <w:ind w:left="720" w:hanging="360"/>
      </w:pPr>
    </w:lvl>
    <w:lvl w:ilvl="1" w:tplc="947C026C">
      <w:start w:val="1"/>
      <w:numFmt w:val="bullet"/>
      <w:lvlText w:val="○"/>
      <w:lvlJc w:val="left"/>
      <w:pPr>
        <w:ind w:left="1440" w:hanging="360"/>
      </w:pPr>
    </w:lvl>
    <w:lvl w:ilvl="2" w:tplc="59CC5F52">
      <w:start w:val="1"/>
      <w:numFmt w:val="bullet"/>
      <w:lvlText w:val="■"/>
      <w:lvlJc w:val="left"/>
      <w:pPr>
        <w:ind w:left="2160" w:hanging="360"/>
      </w:pPr>
    </w:lvl>
    <w:lvl w:ilvl="3" w:tplc="62FE06A0">
      <w:start w:val="1"/>
      <w:numFmt w:val="bullet"/>
      <w:lvlText w:val="●"/>
      <w:lvlJc w:val="left"/>
      <w:pPr>
        <w:ind w:left="2880" w:hanging="360"/>
      </w:pPr>
    </w:lvl>
    <w:lvl w:ilvl="4" w:tplc="65A03A46">
      <w:start w:val="1"/>
      <w:numFmt w:val="bullet"/>
      <w:lvlText w:val="○"/>
      <w:lvlJc w:val="left"/>
      <w:pPr>
        <w:ind w:left="3600" w:hanging="360"/>
      </w:pPr>
    </w:lvl>
    <w:lvl w:ilvl="5" w:tplc="1E1C61AE">
      <w:start w:val="1"/>
      <w:numFmt w:val="bullet"/>
      <w:lvlText w:val="■"/>
      <w:lvlJc w:val="left"/>
      <w:pPr>
        <w:ind w:left="4320" w:hanging="360"/>
      </w:pPr>
    </w:lvl>
    <w:lvl w:ilvl="6" w:tplc="C20E4C4A">
      <w:start w:val="1"/>
      <w:numFmt w:val="bullet"/>
      <w:lvlText w:val="●"/>
      <w:lvlJc w:val="left"/>
      <w:pPr>
        <w:ind w:left="5040" w:hanging="360"/>
      </w:pPr>
    </w:lvl>
    <w:lvl w:ilvl="7" w:tplc="425AE562">
      <w:start w:val="1"/>
      <w:numFmt w:val="bullet"/>
      <w:lvlText w:val="●"/>
      <w:lvlJc w:val="left"/>
      <w:pPr>
        <w:ind w:left="5760" w:hanging="360"/>
      </w:pPr>
    </w:lvl>
    <w:lvl w:ilvl="8" w:tplc="8DF229A4">
      <w:start w:val="1"/>
      <w:numFmt w:val="bullet"/>
      <w:lvlText w:val="●"/>
      <w:lvlJc w:val="left"/>
      <w:pPr>
        <w:ind w:left="6480" w:hanging="360"/>
      </w:pPr>
    </w:lvl>
  </w:abstractNum>
  <w:num w:numId="1" w16cid:durableId="16642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CCC"/>
    <w:rsid w:val="00377CCC"/>
    <w:rsid w:val="004F5588"/>
    <w:rsid w:val="00BB6887"/>
    <w:rsid w:val="00CD1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F22BDF"/>
  <w15:docId w15:val="{33D78319-12E1-F144-B9FC-3E711D03B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6887"/>
    <w:pPr>
      <w:tabs>
        <w:tab w:val="center" w:pos="4680"/>
        <w:tab w:val="right" w:pos="9360"/>
      </w:tabs>
    </w:pPr>
  </w:style>
  <w:style w:type="character" w:customStyle="1" w:styleId="HeaderChar">
    <w:name w:val="Header Char"/>
    <w:basedOn w:val="DefaultParagraphFont"/>
    <w:link w:val="Header"/>
    <w:uiPriority w:val="99"/>
    <w:rsid w:val="00BB6887"/>
  </w:style>
  <w:style w:type="paragraph" w:styleId="Footer">
    <w:name w:val="footer"/>
    <w:basedOn w:val="Normal"/>
    <w:link w:val="FooterChar"/>
    <w:uiPriority w:val="99"/>
    <w:unhideWhenUsed/>
    <w:rsid w:val="00BB6887"/>
    <w:pPr>
      <w:tabs>
        <w:tab w:val="center" w:pos="4680"/>
        <w:tab w:val="right" w:pos="9360"/>
      </w:tabs>
    </w:pPr>
  </w:style>
  <w:style w:type="character" w:customStyle="1" w:styleId="FooterChar">
    <w:name w:val="Footer Char"/>
    <w:basedOn w:val="DefaultParagraphFont"/>
    <w:link w:val="Footer"/>
    <w:uiPriority w:val="99"/>
    <w:rsid w:val="00BB68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840</Words>
  <Characters>4792</Characters>
  <Application>Microsoft Office Word</Application>
  <DocSecurity>0</DocSecurity>
  <Lines>39</Lines>
  <Paragraphs>11</Paragraphs>
  <ScaleCrop>false</ScaleCrop>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Garcia</cp:lastModifiedBy>
  <cp:revision>2</cp:revision>
  <dcterms:created xsi:type="dcterms:W3CDTF">2026-05-16T21:44:00Z</dcterms:created>
  <dcterms:modified xsi:type="dcterms:W3CDTF">2026-05-16T23:34:00Z</dcterms:modified>
</cp:coreProperties>
</file>