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EB30E9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Cabealhodondice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iperligao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EB30E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iperligao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EB30E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iperligao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EB30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iperligao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EB30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iperligao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EB30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iperligao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iperligao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EB30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iperligao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EB30E9" w:rsidP="00882921">
            <w:pPr>
              <w:jc w:val="center"/>
              <w:rPr>
                <w:lang w:val="en-US"/>
              </w:rPr>
            </w:pPr>
            <w:hyperlink r:id="rId13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hyperlink r:id="rId14" w:history="1">
              <w:r>
                <w:t>a21170292</w:t>
              </w:r>
              <w:r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F86377" w14:paraId="2D00919E" w14:textId="77777777" w:rsidTr="00E44F00">
        <w:tc>
          <w:tcPr>
            <w:tcW w:w="1384" w:type="dxa"/>
            <w:vAlign w:val="center"/>
          </w:tcPr>
          <w:p w14:paraId="411DE06C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2377523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4959AC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5EAC30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14:paraId="6A9366D2" w14:textId="77777777" w:rsidTr="00E44F00">
        <w:tc>
          <w:tcPr>
            <w:tcW w:w="1384" w:type="dxa"/>
            <w:vAlign w:val="center"/>
          </w:tcPr>
          <w:p w14:paraId="09DF2E9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0C438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B8793F8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446995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Legenda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F86377" w14:paraId="29121CE7" w14:textId="77777777" w:rsidTr="00E44F00">
        <w:tc>
          <w:tcPr>
            <w:tcW w:w="1384" w:type="dxa"/>
            <w:vAlign w:val="center"/>
          </w:tcPr>
          <w:p w14:paraId="28F10590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F1E7C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EF14539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F9952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14:paraId="334D1DDA" w14:textId="77777777" w:rsidTr="00E44F00">
        <w:tc>
          <w:tcPr>
            <w:tcW w:w="1384" w:type="dxa"/>
            <w:vAlign w:val="center"/>
          </w:tcPr>
          <w:p w14:paraId="36EB9FB6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85AE22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EAA027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C0EEAA9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14A3DB2C" w14:textId="77777777" w:rsidTr="00E44F00">
        <w:tc>
          <w:tcPr>
            <w:tcW w:w="1384" w:type="dxa"/>
            <w:vAlign w:val="center"/>
          </w:tcPr>
          <w:p w14:paraId="307F0079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341F85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E158B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15D51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49C1D4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1B414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2702E791" w14:textId="77777777" w:rsidTr="00E44F00">
        <w:tc>
          <w:tcPr>
            <w:tcW w:w="1384" w:type="dxa"/>
            <w:vAlign w:val="center"/>
          </w:tcPr>
          <w:p w14:paraId="6D1BD80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03CB6A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38F52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22692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290B0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0981FA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072AD297" w14:textId="77777777" w:rsidTr="00E44F00">
        <w:tc>
          <w:tcPr>
            <w:tcW w:w="1384" w:type="dxa"/>
            <w:vAlign w:val="center"/>
          </w:tcPr>
          <w:p w14:paraId="357A6B5C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4757F6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A5DAE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CC92A2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E22373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1ACA45F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25E6885E" w14:textId="77777777" w:rsidTr="00E44F00">
        <w:tc>
          <w:tcPr>
            <w:tcW w:w="1384" w:type="dxa"/>
            <w:vAlign w:val="center"/>
          </w:tcPr>
          <w:p w14:paraId="10DDAAEC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F2DED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5B1C3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75D5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Legenda"/>
        <w:rPr>
          <w:lang w:val="en-US"/>
        </w:rPr>
      </w:pPr>
      <w:bookmarkStart w:id="1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1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4AD4D40" w14:textId="77777777" w:rsidR="00345E81" w:rsidRPr="00F86377" w:rsidRDefault="00153DBC" w:rsidP="00153DBC">
      <w:pPr>
        <w:pStyle w:val="Cabealho1"/>
        <w:numPr>
          <w:ilvl w:val="0"/>
          <w:numId w:val="2"/>
        </w:numPr>
        <w:rPr>
          <w:lang w:val="en-US"/>
        </w:rPr>
      </w:pPr>
      <w:bookmarkStart w:id="2" w:name="_Toc353062046"/>
      <w:r w:rsidRPr="00F86377">
        <w:rPr>
          <w:lang w:val="en-US"/>
        </w:rPr>
        <w:lastRenderedPageBreak/>
        <w:t>Introduction</w:t>
      </w:r>
      <w:bookmarkEnd w:id="2"/>
    </w:p>
    <w:p w14:paraId="67797E9E" w14:textId="77777777" w:rsidR="001328C4" w:rsidRDefault="001328C4" w:rsidP="00E44F00">
      <w:pPr>
        <w:pStyle w:val="Cabealho1"/>
        <w:numPr>
          <w:ilvl w:val="1"/>
          <w:numId w:val="2"/>
        </w:numPr>
        <w:spacing w:after="240"/>
        <w:rPr>
          <w:lang w:val="en-US"/>
        </w:rPr>
      </w:pPr>
      <w:bookmarkStart w:id="3" w:name="_Toc353062047"/>
      <w:r>
        <w:rPr>
          <w:lang w:val="en-US"/>
        </w:rPr>
        <w:t>Purpose</w:t>
      </w:r>
      <w:bookmarkEnd w:id="3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Cabealho1"/>
        <w:numPr>
          <w:ilvl w:val="1"/>
          <w:numId w:val="2"/>
        </w:numPr>
        <w:spacing w:after="240"/>
        <w:rPr>
          <w:lang w:val="en-US"/>
        </w:rPr>
      </w:pPr>
      <w:bookmarkStart w:id="4" w:name="_Toc353062048"/>
      <w:r>
        <w:rPr>
          <w:lang w:val="en-US"/>
        </w:rPr>
        <w:t>Product</w:t>
      </w:r>
      <w:bookmarkEnd w:id="4"/>
    </w:p>
    <w:p w14:paraId="43111D9C" w14:textId="77777777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console 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commentRangeStart w:id="5"/>
      <w:r w:rsidR="001F62B4">
        <w:rPr>
          <w:lang w:val="en-US"/>
        </w:rPr>
        <w:t>three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  <w:commentRangeEnd w:id="5"/>
      <w:r w:rsidR="00012ECB">
        <w:rPr>
          <w:rStyle w:val="Refdecomentrio"/>
        </w:rPr>
        <w:commentReference w:id="5"/>
      </w:r>
    </w:p>
    <w:p w14:paraId="02A9AF96" w14:textId="77777777" w:rsidR="00153DBC" w:rsidRPr="00F86377" w:rsidRDefault="00153DBC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2E687AE3" w14:textId="77777777" w:rsidR="0058003E" w:rsidRPr="008C65A1" w:rsidRDefault="008C65A1" w:rsidP="008C65A1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database model (ER) should be subjected to a </w:t>
      </w:r>
      <w:commentRangeStart w:id="8"/>
      <w:r w:rsidR="001F62B4">
        <w:rPr>
          <w:lang w:val="en-US"/>
        </w:rPr>
        <w:t>Walkthrough</w:t>
      </w:r>
      <w:commentRangeEnd w:id="8"/>
      <w:r w:rsidR="00012ECB">
        <w:rPr>
          <w:rStyle w:val="Refdecomentrio"/>
        </w:rPr>
        <w:commentReference w:id="8"/>
      </w:r>
    </w:p>
    <w:p w14:paraId="793F28F5" w14:textId="77777777" w:rsidR="008C212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documents must be subjected to informal reviews (</w:t>
      </w: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>)</w:t>
      </w:r>
    </w:p>
    <w:p w14:paraId="07133EAF" w14:textId="77777777" w:rsidR="00E44F00" w:rsidRDefault="00E44F00">
      <w:pPr>
        <w:rPr>
          <w:lang w:val="en-US"/>
        </w:rPr>
      </w:pPr>
      <w:r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77777777" w:rsidR="006F0EC2" w:rsidRDefault="008C65A1" w:rsidP="00CD44AC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commentRangeStart w:id="9"/>
      <w:r w:rsidR="00C402F1">
        <w:rPr>
          <w:lang w:val="en-US"/>
        </w:rPr>
        <w:t>will be available</w:t>
      </w:r>
      <w:r>
        <w:rPr>
          <w:lang w:val="en-US"/>
        </w:rPr>
        <w:t xml:space="preserve"> </w:t>
      </w:r>
      <w:commentRangeEnd w:id="9"/>
      <w:r w:rsidR="00012ECB">
        <w:rPr>
          <w:rStyle w:val="Refdecomentrio"/>
        </w:rPr>
        <w:commentReference w:id="9"/>
      </w:r>
      <w:r>
        <w:rPr>
          <w:lang w:val="en-US"/>
        </w:rPr>
        <w:t xml:space="preserve">in the team repository </w:t>
      </w:r>
    </w:p>
    <w:p w14:paraId="0087AE38" w14:textId="77777777"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7CD290B9" w14:textId="77777777" w:rsidR="0058003E" w:rsidRDefault="0058003E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Unit testing should be made using the testing tools provided by </w:t>
      </w:r>
      <w:commentRangeStart w:id="10"/>
      <w:r>
        <w:rPr>
          <w:lang w:val="en-US"/>
        </w:rPr>
        <w:t>Visual Studio</w:t>
      </w:r>
      <w:commentRangeEnd w:id="10"/>
      <w:r w:rsidR="00012ECB">
        <w:rPr>
          <w:rStyle w:val="Refdecomentrio"/>
        </w:rPr>
        <w:commentReference w:id="10"/>
      </w:r>
    </w:p>
    <w:p w14:paraId="35070EF4" w14:textId="77777777" w:rsidR="0058003E" w:rsidRDefault="008C65A1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assure the </w:t>
      </w:r>
      <w:bookmarkStart w:id="11" w:name="_GoBack"/>
      <w:r>
        <w:rPr>
          <w:lang w:val="en-US"/>
        </w:rPr>
        <w:t xml:space="preserve">usability </w:t>
      </w:r>
      <w:bookmarkEnd w:id="11"/>
      <w:r>
        <w:rPr>
          <w:lang w:val="en-US"/>
        </w:rPr>
        <w:t>of the application</w:t>
      </w:r>
    </w:p>
    <w:p w14:paraId="2256F5CF" w14:textId="77777777" w:rsidR="00153DBC" w:rsidRPr="00AD4D23" w:rsidRDefault="00613CD0" w:rsidP="00AD4D2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12" w:name="_Toc353062051"/>
      <w:r>
        <w:rPr>
          <w:lang w:val="en-US"/>
        </w:rPr>
        <w:t>Quality Records</w:t>
      </w:r>
      <w:bookmarkEnd w:id="12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 xml:space="preserve">At least once a week the quality manager must verify the unconformities document for new entries. For each one a decision must be made on </w:t>
      </w:r>
      <w:commentRangeStart w:id="13"/>
      <w:r>
        <w:rPr>
          <w:lang w:val="en-US"/>
        </w:rPr>
        <w:t>corrective actions</w:t>
      </w:r>
      <w:commentRangeEnd w:id="13"/>
      <w:r w:rsidR="006D3A9E">
        <w:rPr>
          <w:rStyle w:val="Refdecomentrio"/>
        </w:rPr>
        <w:commentReference w:id="13"/>
      </w:r>
      <w:r>
        <w:rPr>
          <w:lang w:val="en-US"/>
        </w:rPr>
        <w:t xml:space="preserve">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ário Oliveira" w:date="2013-04-11T17:46:00Z" w:initials="MO">
    <w:p w14:paraId="6B8EEEE1" w14:textId="77777777" w:rsidR="00012ECB" w:rsidRDefault="00012ECB">
      <w:pPr>
        <w:pStyle w:val="Textodecomentrio"/>
      </w:pPr>
      <w:r>
        <w:rPr>
          <w:rStyle w:val="Refdecomentrio"/>
        </w:rPr>
        <w:annotationRef/>
      </w:r>
      <w:r>
        <w:t>Não são duas?</w:t>
      </w:r>
    </w:p>
  </w:comment>
  <w:comment w:id="8" w:author="Mário Oliveira" w:date="2013-04-11T17:50:00Z" w:initials="MO">
    <w:p w14:paraId="656F2579" w14:textId="77777777" w:rsidR="00012ECB" w:rsidRDefault="00012ECB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14:paraId="73FD76FC" w14:textId="77777777" w:rsidR="00012ECB" w:rsidRDefault="00012ECB">
      <w:pPr>
        <w:pStyle w:val="Textodecomentrio"/>
      </w:pPr>
      <w:r>
        <w:t>Apenas para ter uma certa coerência, podia-se escrever “</w:t>
      </w:r>
      <w:proofErr w:type="spellStart"/>
      <w:r>
        <w:t>Walkthrough</w:t>
      </w:r>
      <w:proofErr w:type="spellEnd"/>
      <w:r>
        <w:t xml:space="preserve"> – qualquer coisa”, como no tópico anterior</w:t>
      </w:r>
    </w:p>
  </w:comment>
  <w:comment w:id="9" w:author="Mário Oliveira" w:date="2013-04-11T17:51:00Z" w:initials="MO">
    <w:p w14:paraId="5DCA8E31" w14:textId="77777777" w:rsidR="00012ECB" w:rsidRDefault="00012ECB">
      <w:pPr>
        <w:pStyle w:val="Textodecomentrio"/>
      </w:pPr>
      <w:r>
        <w:rPr>
          <w:rStyle w:val="Refdecomentrio"/>
        </w:rPr>
        <w:annotationRef/>
      </w:r>
      <w:r>
        <w:t xml:space="preserve">Já está </w:t>
      </w:r>
      <w:proofErr w:type="gramStart"/>
      <w:r>
        <w:t xml:space="preserve">disponível </w:t>
      </w:r>
      <w:proofErr w:type="gramEnd"/>
      <w:r>
        <w:t>:p</w:t>
      </w:r>
    </w:p>
  </w:comment>
  <w:comment w:id="10" w:author="Mário Oliveira" w:date="2013-04-11T17:52:00Z" w:initials="MO">
    <w:p w14:paraId="3EBDD653" w14:textId="77777777" w:rsidR="00012ECB" w:rsidRDefault="00012ECB">
      <w:pPr>
        <w:pStyle w:val="Textodecomentrio"/>
      </w:pPr>
      <w:r>
        <w:rPr>
          <w:rStyle w:val="Refdecomentrio"/>
        </w:rPr>
        <w:annotationRef/>
      </w:r>
      <w:r>
        <w:t xml:space="preserve">Não temos que pensar em </w:t>
      </w:r>
      <w:proofErr w:type="gramStart"/>
      <w:r>
        <w:t>todas as</w:t>
      </w:r>
      <w:proofErr w:type="gramEnd"/>
      <w:r>
        <w:t xml:space="preserve"> </w:t>
      </w:r>
      <w:proofErr w:type="spellStart"/>
      <w:proofErr w:type="gramStart"/>
      <w:r>
        <w:t>releases</w:t>
      </w:r>
      <w:proofErr w:type="spellEnd"/>
      <w:proofErr w:type="gramEnd"/>
      <w:r>
        <w:t>? Se sim, temos que falar de um IDE para java e ferramentas para testes unitários.</w:t>
      </w:r>
    </w:p>
    <w:p w14:paraId="13D416E8" w14:textId="77777777" w:rsidR="00012ECB" w:rsidRDefault="00012ECB">
      <w:pPr>
        <w:pStyle w:val="Textodecomentrio"/>
      </w:pPr>
      <w:r>
        <w:t xml:space="preserve">Ex: Eclipse com o </w:t>
      </w:r>
      <w:proofErr w:type="spellStart"/>
      <w:r>
        <w:t>JUnit</w:t>
      </w:r>
      <w:proofErr w:type="spellEnd"/>
    </w:p>
  </w:comment>
  <w:comment w:id="13" w:author="Mário Oliveira" w:date="2013-04-11T18:00:00Z" w:initials="MO">
    <w:p w14:paraId="4A7F7336" w14:textId="77777777" w:rsidR="006D3A9E" w:rsidRDefault="006D3A9E">
      <w:pPr>
        <w:pStyle w:val="Textodecomentrio"/>
      </w:pPr>
      <w:r>
        <w:rPr>
          <w:rStyle w:val="Refdecomentrio"/>
        </w:rPr>
        <w:annotationRef/>
      </w:r>
      <w:r>
        <w:t>Quais ações corretivas, definidas onde?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8EEEE1" w15:done="0"/>
  <w15:commentEx w15:paraId="73FD76FC" w15:done="0"/>
  <w15:commentEx w15:paraId="5DCA8E31" w15:done="0"/>
  <w15:commentEx w15:paraId="13D416E8" w15:done="0"/>
  <w15:commentEx w15:paraId="4A7F73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2BBD6" w14:textId="77777777" w:rsidR="00EB30E9" w:rsidRDefault="00EB30E9" w:rsidP="00042081">
      <w:pPr>
        <w:spacing w:after="0" w:line="240" w:lineRule="auto"/>
      </w:pPr>
      <w:r>
        <w:separator/>
      </w:r>
    </w:p>
  </w:endnote>
  <w:endnote w:type="continuationSeparator" w:id="0">
    <w:p w14:paraId="7FDCFB9B" w14:textId="77777777" w:rsidR="00EB30E9" w:rsidRDefault="00EB30E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969CC" w14:textId="77777777" w:rsidR="009553EC" w:rsidRDefault="00906D0A">
    <w:pPr>
      <w:pStyle w:val="Rodap"/>
    </w:pPr>
    <w:r>
      <w:t>Projeto Soft</w:t>
    </w:r>
    <w:r w:rsidR="009553EC">
      <w:t>ware 2013</w:t>
    </w:r>
  </w:p>
  <w:p w14:paraId="18EC80C4" w14:textId="77777777" w:rsidR="00042081" w:rsidRDefault="00EB30E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2262E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696F7EC3" w14:textId="77777777" w:rsidR="00895D61" w:rsidRDefault="00EB30E9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4E4B3" w14:textId="77777777" w:rsidR="00705D20" w:rsidRDefault="00705D20">
    <w:pPr>
      <w:pStyle w:val="Rodap"/>
    </w:pPr>
    <w:r>
      <w:t>Projeto Software 2013</w:t>
    </w:r>
  </w:p>
  <w:p w14:paraId="20867D1F" w14:textId="77777777" w:rsidR="00705D20" w:rsidRDefault="00EB30E9">
    <w:pPr>
      <w:pStyle w:val="Rodap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275244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4F2A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078D85CD" w14:textId="77777777" w:rsidR="00705D20" w:rsidRDefault="00EB30E9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012ECB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131C" w14:textId="77777777" w:rsidR="00EB30E9" w:rsidRDefault="00EB30E9" w:rsidP="00042081">
      <w:pPr>
        <w:spacing w:after="0" w:line="240" w:lineRule="auto"/>
      </w:pPr>
      <w:r>
        <w:separator/>
      </w:r>
    </w:p>
  </w:footnote>
  <w:footnote w:type="continuationSeparator" w:id="0">
    <w:p w14:paraId="2208178C" w14:textId="77777777" w:rsidR="00EB30E9" w:rsidRDefault="00EB30E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96B82" w14:textId="77777777" w:rsidR="00042081" w:rsidRPr="00E44F0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77777777" w:rsidR="009553EC" w:rsidRPr="00E44F00" w:rsidRDefault="009553EC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4F00" w:rsidRPr="00E44F00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6A48" w14:textId="77777777" w:rsidR="00906D0A" w:rsidRPr="00E44F0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3DBC">
      <w:tab/>
    </w:r>
    <w:r w:rsidRPr="00153DBC"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77777777" w:rsidR="00906D0A" w:rsidRPr="00E44F00" w:rsidRDefault="00906D0A" w:rsidP="00906D0A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4F00" w:rsidRPr="00E44F00">
          <w:rPr>
            <w:lang w:val="en-US"/>
          </w:rPr>
          <w:t>Ready for Revision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F62B4"/>
    <w:rsid w:val="0020190C"/>
    <w:rsid w:val="00212016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853B9"/>
    <w:rsid w:val="005C5EF7"/>
    <w:rsid w:val="005D7A32"/>
    <w:rsid w:val="005E3998"/>
    <w:rsid w:val="00611309"/>
    <w:rsid w:val="00613CD0"/>
    <w:rsid w:val="0068587E"/>
    <w:rsid w:val="00687FA6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A203E"/>
    <w:rsid w:val="007D1819"/>
    <w:rsid w:val="00882921"/>
    <w:rsid w:val="00892417"/>
    <w:rsid w:val="00895D61"/>
    <w:rsid w:val="008C212E"/>
    <w:rsid w:val="008C65A1"/>
    <w:rsid w:val="00906D0A"/>
    <w:rsid w:val="009553EC"/>
    <w:rsid w:val="00973A48"/>
    <w:rsid w:val="00A12912"/>
    <w:rsid w:val="00A34B36"/>
    <w:rsid w:val="00A716D5"/>
    <w:rsid w:val="00A724C0"/>
    <w:rsid w:val="00AC6A1C"/>
    <w:rsid w:val="00AD4D23"/>
    <w:rsid w:val="00B12E8D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  <w15:docId w15:val="{96778987-2851-4418-80D1-2385EA8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012EC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12EC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12EC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12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5AAE5-EE11-4AD8-B6A6-620F61D9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750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Plan</vt:lpstr>
      <vt:lpstr>Template</vt:lpstr>
    </vt:vector>
  </TitlesOfParts>
  <Company>PS2Win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V0.2</dc:description>
  <cp:lastModifiedBy>Mário Oliveira</cp:lastModifiedBy>
  <cp:revision>13</cp:revision>
  <dcterms:created xsi:type="dcterms:W3CDTF">2013-03-26T23:22:00Z</dcterms:created>
  <dcterms:modified xsi:type="dcterms:W3CDTF">2013-04-11T17:10:00Z</dcterms:modified>
  <cp:contentStatus>Ready for Revision</cp:contentStatus>
</cp:coreProperties>
</file>