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pPr>
        <w:pStyle w:val="BodyText"/>
      </w:pPr>
      <w:r>
        <w:rPr>
          <w:i/>
          <w:iCs/>
        </w:rPr>
        <w:t xml:space="preserve">Word Count</w:t>
      </w:r>
      <w:r>
        <w:t xml:space="preserve">: 3171</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transparency and rigor, yet clinical psychology has lagged behind other subfields in embedding them in graduate training. Much of this lag reflects distinct headwinds: handling sensitive patient data, coordinating with clinics and IRBs, and teaching in highly individualized settings</w:t>
      </w:r>
      <w:r>
        <w:t xml:space="preserve"> </w:t>
      </w:r>
      <w:r>
        <w:t xml:space="preserve">(</w:t>
      </w:r>
      <w:hyperlink w:anchor="ref-tackett2017">
        <w:r>
          <w:rPr>
            <w:rStyle w:val="Hyperlink"/>
          </w:rPr>
          <w:t xml:space="preserve">Tackett et al., 2017</w:t>
        </w:r>
      </w:hyperlink>
      <w:r>
        <w:t xml:space="preserve">)</w:t>
      </w:r>
      <w:r>
        <w:t xml:space="preserve">. Still, these factors do not fully explain the gap: core practices such as preregistration, code sharing, and reproducible workflows can be taught and adopted despite them.</w:t>
      </w:r>
    </w:p>
    <w:p>
      <w:pPr>
        <w:pStyle w:val="BodyText"/>
      </w:pPr>
      <w:r>
        <w:t xml:space="preserve">Drawing on syllabus audits and graduate-student surveys,</w:t>
      </w:r>
      <w:r>
        <w:t xml:space="preserve"> </w:t>
      </w:r>
      <w:r>
        <w:t xml:space="preserve">Van Til et al. (</w:t>
      </w:r>
      <w:hyperlink w:anchor="ref-vantil2025">
        <w:r>
          <w:rPr>
            <w:rStyle w:val="Hyperlink"/>
          </w:rPr>
          <w:t xml:space="preserve">2025</w:t>
        </w:r>
      </w:hyperlink>
      <w:r>
        <w:t xml:space="preserve">)</w:t>
      </w:r>
      <w:r>
        <w:t xml:space="preserve"> </w:t>
      </w:r>
      <w:r>
        <w:t xml:space="preserve">document that open-science training is present in some U.S. programs but uneven overall. Readings and occasional assignments appear, yet hands-on opportunities to practice core behaviors are scarce; students report interest, but unfamiliarity with practices like registered reports remains common.</w:t>
      </w:r>
    </w:p>
    <w:p>
      <w:pPr>
        <w:pStyle w:val="BodyText"/>
      </w:pPr>
      <w:r>
        <w:t xml:space="preserve">Writing as a clinical psychologist with a strong computational focus, I take an opinionated stance: open science will not advance through exposure to principles alone. Graduate programs should provide sustained, scaffolded, and hands-on training that turns open-science ideals into routine habits and integrates modern computational tools. My aim in this commentary is to advance that agenda and spark discussion.</w:t>
      </w:r>
    </w:p>
    <w:bookmarkEnd w:id="30"/>
    <w:bookmarkStart w:id="31" w:name="the-training-students-deserve"/>
    <w:p>
      <w:pPr>
        <w:pStyle w:val="Heading1"/>
      </w:pPr>
      <w:r>
        <w:t xml:space="preserve">The Training Students Deserve</w:t>
      </w:r>
    </w:p>
    <w:p>
      <w:pPr>
        <w:pStyle w:val="FirstParagraph"/>
      </w:pPr>
      <w:r>
        <w:t xml:space="preserve">Across psychological science, endorsement of transparency and rigor is high, but graduate curricula too rarely convert those commitments into routine practice. To make openness the default, programs should embed it from the outset and scaffold it across developmental stages—emphasizing hands-on, reproducible workflows rather than one-off exposure to concepts. Writing as a clinical psychologist with a computational focus, I argue for sustained, practice-based training that treats open science as core professional preparation rather than an optional add-on.</w:t>
      </w:r>
    </w:p>
    <w:p>
      <w:pPr>
        <w:pStyle w:val="BodyText"/>
      </w:pPr>
      <w:r>
        <w:t xml:space="preserve">If psychology is to prepare the next generation of scientifically rigorous researchers, open-science principles must be woven into the curriculum from the very beginning of graduate study. The first semester of a program plays a disproportionate role in shaping a student’s identity as a researcher (cite). Early coursework in methods and statistics not only teaches design and analysis but also transmits the norms that define what counts as rigorous and responsible science. Programs that postpone or marginalize open-science instruction implicitly signal that transparency is peripheral rather than central to good research practice.</w:t>
      </w:r>
    </w:p>
    <w:p>
      <w:pPr>
        <w:pStyle w:val="BodyText"/>
      </w:pPr>
      <w:r>
        <w:t xml:space="preserve">An effective approach should scaffold open-science training across the full arc of graduate development. Introductory methods courses can present the rationale for transparency and provide structured preregistration exercises that help students distinguish between exploratory and confirmatory inquiry. Early statistics courses can pair reproducible code with transparent documentation, allowing students to practice the full cycle of analysis, interpretation, and reporting. As students progress, they should apply these skills to projects grounded in their own interests—designing a study, preregistering hypotheses, analyzing original data, and depositing materials in an open repository. By the dissertation stage, students ought to be fluent in core open-research workflows such as preregistration, code and data sharing, and reproducible reporting, while optionally experimenting with registered reports, replication studies, or version-controlled collaboration.</w:t>
      </w:r>
    </w:p>
    <w:p>
      <w:pPr>
        <w:pStyle w:val="BodyText"/>
      </w:pPr>
      <w:r>
        <w:t xml:space="preserve">Such integration demands institutional coordination and mentorship. Open science cannot be reduced to a single lecture or optional unit; it must be threaded through coursework, supervision, and evaluation. Faculty need not be experts in every open-science tool to serve as models. When instructors and research mentors make their analytic reasoning visible—by documenting decisions, reflecting on errors, or sharing the evolution of a project—they convey that rigor and transparency are active, learnable processes rather than static ideals. Programs that normalize this openness across training contexts are more likely to produce scholars who treat transparency as the default mode of scientific work.</w:t>
      </w:r>
    </w:p>
    <w:bookmarkEnd w:id="31"/>
    <w:bookmarkStart w:id="32" w:name="clinical-challenges-and-opportunities"/>
    <w:p>
      <w:pPr>
        <w:pStyle w:val="Heading1"/>
      </w:pPr>
      <w:r>
        <w:t xml:space="preserve">Clinical Challenges and Opportunities</w:t>
      </w:r>
    </w:p>
    <w:p>
      <w:pPr>
        <w:pStyle w:val="FirstParagraph"/>
      </w:pPr>
      <w:r>
        <w:t xml:space="preserve">While the principles above apply to all of psychology, clinical psychology occupies a distinctive position at the intersection of scientific training and professional regulation. Because most clinical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Consequently, clinical psychology functions as an especially consequential model-setting domain for embedding transparency within professional education, where accreditation requirements, competency benchmarks, and supervisory structures can translate general principles into enforceable expectations and replicable training routines.</w:t>
      </w:r>
    </w:p>
    <w:p>
      <w:pPr>
        <w:pStyle w:val="BodyText"/>
      </w:pPr>
      <w:r>
        <w:t xml:space="preserve">At the same time, clinical training entails challenges that few other areas of psychology face. The ethical and legal imperatives of patient confidentiality complicate the sharing of raw data, preregistration of sensitive protocols, and replication of clinical trials. Research is often conducted in partnership with hospitals, clinics, and community agencies, each governed by institutional review boards and data-use agreements that restrict dissemination. Students must also divide their time between research, coursework, and intensive clinical practica, leaving limited bandwidth for mastering new computational or documentation tools. These constraints can make open-science ideals seem aspirational rather than achievable within applied clinical settings.</w:t>
      </w:r>
    </w:p>
    <w:p>
      <w:pPr>
        <w:pStyle w:val="BodyText"/>
      </w:pPr>
      <w:r>
        <w:t xml:space="preserve">Yet the very features that complicate openness also create opportunities for innovation. Clinical psychology is well positioned to pioneer frameworks for</w:t>
      </w:r>
      <w:r>
        <w:t xml:space="preserve"> </w:t>
      </w:r>
      <w:r>
        <w:rPr>
          <w:i/>
          <w:iCs/>
        </w:rPr>
        <w:t xml:space="preserve">ethical transparency</w:t>
      </w:r>
      <w:r>
        <w:t xml:space="preserve">—approaches that balance rigor with protection of privacy. Examples include the use of de-identified or synthetic datasets for teaching and secondary analysis, secure data enclaves for authorized replication, and preregistration formats that allow embargoes until sensitive work concludes. Because clinical training already integrates ethics, evidence-based practice, and reflective supervision, open-science competencies can be framed as extensions of professional responsibility rather than as external mandates. Linking transparency to ethical conduct reinforces its relevance to both scientific and clinical excellence.</w:t>
      </w:r>
    </w:p>
    <w:p>
      <w:pPr>
        <w:pStyle w:val="BodyText"/>
      </w:pPr>
      <w:r>
        <w:t xml:space="preserve">Ultimately, the integration of open-science principles within clinical psychology will depend on structural support as well as individual modeling. Accrediting bodies can update competency standards to include reproducible research workflows and transparent documentation practices. Training directors can align course sequences so that students learn privacy-preserving data management alongside open-science reasoning. Faculty mentors can demonstrate how to navigate ambiguity, sharing both successes and setbacks in implementing transparency under real-world constraints. In doing so, clinical psychology can lead the discipline in demonstrating that openness and confidentiality are not opposing values but complementary commitments to the integrity of both science and care.</w:t>
      </w:r>
    </w:p>
    <w:bookmarkEnd w:id="32"/>
    <w:bookmarkStart w:id="38"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3" w:name="code-based-workflows"/>
    <w:p>
      <w:pPr>
        <w:pStyle w:val="Heading2"/>
      </w:pPr>
      <w:r>
        <w:t xml:space="preserve">Code-Based Workflows</w:t>
      </w:r>
    </w:p>
    <w:p>
      <w:pPr>
        <w:pStyle w:val="FirstParagraph"/>
      </w:pPr>
      <w:r>
        <w:t xml:space="preserve">Perhaps the most transformative shift in research practice over the past decade has been the move from costly point-and-click statistical software to scripted, code-based workflows using open-source programming languages.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3"/>
    <w:bookmarkStart w:id="35"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4"/>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5"/>
    <w:bookmarkStart w:id="36"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6"/>
    <w:bookmarkStart w:id="37"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7"/>
    <w:bookmarkEnd w:id="38"/>
    <w:bookmarkStart w:id="43"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9"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9"/>
    <w:bookmarkStart w:id="40"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40"/>
    <w:bookmarkStart w:id="41"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1"/>
    <w:bookmarkStart w:id="42"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2"/>
    <w:bookmarkEnd w:id="43"/>
    <w:bookmarkStart w:id="44"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4"/>
    <w:bookmarkStart w:id="45" w:name="acknowledgments"/>
    <w:p>
      <w:pPr>
        <w:pStyle w:val="Heading1"/>
      </w:pPr>
      <w:r>
        <w:t xml:space="preserve">Acknowledgments</w:t>
      </w:r>
    </w:p>
    <w:p>
      <w:pPr>
        <w:pStyle w:val="FirstParagraph"/>
      </w:pPr>
      <w:r>
        <w:t xml:space="preserve">This manuscript was written with the assistance of a large language model (ChatGPT 4o). Specifically, the model was used to refine an initial outline created by the author and to assist with iterative revisions aimed at improving clarity and conciseness. The author has independently verified the accuracy, validity, and appropriateness of all substantive content. As with any tool, LLMs may introduce errors or bias, and the author bears sole responsibility for the final text.</w:t>
      </w:r>
    </w:p>
    <w:bookmarkEnd w:id="45"/>
    <w:bookmarkStart w:id="46" w:name="author-contributions"/>
    <w:p>
      <w:pPr>
        <w:pStyle w:val="Heading1"/>
      </w:pPr>
      <w:r>
        <w:t xml:space="preserve">Author Contributions</w:t>
      </w:r>
    </w:p>
    <w:p>
      <w:pPr>
        <w:pStyle w:val="FirstParagraph"/>
      </w:pPr>
      <w:r>
        <w:t xml:space="preserve">Conceptualization: J. Girard; Writing – Original Draft Preparation: J. Girard.</w:t>
      </w:r>
    </w:p>
    <w:bookmarkEnd w:id="46"/>
    <w:bookmarkStart w:id="47"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7"/>
    <w:bookmarkStart w:id="65" w:name="references"/>
    <w:p>
      <w:pPr>
        <w:pStyle w:val="Heading1"/>
      </w:pPr>
      <w:r>
        <w:t xml:space="preserve">References</w:t>
      </w:r>
    </w:p>
    <w:bookmarkStart w:id="62" w:name="refs"/>
    <w:bookmarkStart w:id="49" w:name="ref-boettiger2017"/>
    <w:p>
      <w:pPr>
        <w:pStyle w:val="Bibliography"/>
      </w:pPr>
      <w:r>
        <w:t xml:space="preserve">Boettiger, C., &amp; Eddelbuettel, D. (2017). An</w:t>
      </w:r>
      <w:r>
        <w:t xml:space="preserve"> </w:t>
      </w:r>
      <w:r>
        <w:t xml:space="preserve">Introduction</w:t>
      </w:r>
      <w:r>
        <w:t xml:space="preserve"> </w:t>
      </w:r>
      <w:r>
        <w:t xml:space="preserve">to</w:t>
      </w:r>
      <w:r>
        <w:t xml:space="preserve"> </w:t>
      </w:r>
      <w:r>
        <w:t xml:space="preserve">Rocker</w:t>
      </w:r>
      <w:r>
        <w:t xml:space="preserve">:</w:t>
      </w:r>
      <w:r>
        <w:t xml:space="preserve"> </w:t>
      </w:r>
      <w:r>
        <w:t xml:space="preserve">Docker Containers</w:t>
      </w:r>
      <w:r>
        <w:t xml:space="preserve"> </w:t>
      </w:r>
      <w:r>
        <w:t xml:space="preserve">for</w:t>
      </w:r>
      <w:r>
        <w:t xml:space="preserve"> </w:t>
      </w:r>
      <w:r>
        <w:t xml:space="preserve">R</w:t>
      </w:r>
      <w:r>
        <w:t xml:space="preserve">.</w:t>
      </w:r>
      <w:r>
        <w:t xml:space="preserve"> </w:t>
      </w:r>
      <w:r>
        <w:rPr>
          <w:i/>
          <w:iCs/>
        </w:rPr>
        <w:t xml:space="preserve">The R Journal</w:t>
      </w:r>
      <w:r>
        <w:t xml:space="preserve">,</w:t>
      </w:r>
      <w:r>
        <w:t xml:space="preserve"> </w:t>
      </w:r>
      <w:r>
        <w:rPr>
          <w:i/>
          <w:iCs/>
        </w:rPr>
        <w:t xml:space="preserve">9</w:t>
      </w:r>
      <w:r>
        <w:t xml:space="preserve">(2), 527–536.</w:t>
      </w:r>
      <w:r>
        <w:t xml:space="preserve"> </w:t>
      </w:r>
      <w:hyperlink r:id="rId48">
        <w:r>
          <w:rPr>
            <w:rStyle w:val="Hyperlink"/>
          </w:rPr>
          <w:t xml:space="preserve">https://doi.org/10/ghgdtz</w:t>
        </w:r>
      </w:hyperlink>
    </w:p>
    <w:bookmarkEnd w:id="49"/>
    <w:bookmarkStart w:id="50" w:name="ref-chacon2014"/>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50"/>
    <w:bookmarkStart w:id="51" w:name="ref-merkel2014"/>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51"/>
    <w:bookmarkStart w:id="52" w:name="ref-nosek2019"/>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2"/>
    <w:bookmarkStart w:id="53"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3"/>
    <w:bookmarkStart w:id="54" w:name="ref-scheidegger2025"/>
    <w:p>
      <w:pPr>
        <w:pStyle w:val="Bibliography"/>
      </w:pPr>
      <w:r>
        <w:t xml:space="preserve">Scheidegger, C., Woodhull, G., Dervieux, C., Teague, C., Allaire, J. J., &amp; Xie, Y. (2025).</w:t>
      </w:r>
      <w:r>
        <w:t xml:space="preserve"> </w:t>
      </w:r>
      <w:r>
        <w:rPr>
          <w:i/>
          <w:iCs/>
        </w:rPr>
        <w:t xml:space="preserve">Quarto</w:t>
      </w:r>
      <w:r>
        <w:t xml:space="preserve">. Posit, PBC.</w:t>
      </w:r>
    </w:p>
    <w:bookmarkEnd w:id="54"/>
    <w:bookmarkStart w:id="55" w:name="ref-strand2025"/>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5"/>
    <w:bookmarkStart w:id="57" w:name="ref-tackett2017"/>
    <w:p>
      <w:pPr>
        <w:pStyle w:val="Bibliography"/>
      </w:pPr>
      <w:r>
        <w:t xml:space="preserve">Tackett, J. L., Lilienfeld, S. O., Patrick, C. J., Johnson, S. L., Krueger, R. F., Miller, J. D., Oltmanns, T. F., &amp; Shrout, P. E. (2017). It’s time to broaden the replicability conversation:</w:t>
      </w:r>
      <w:r>
        <w:t xml:space="preserve"> </w:t>
      </w:r>
      <w:r>
        <w:t xml:space="preserve">Thoughts</w:t>
      </w:r>
      <w:r>
        <w:t xml:space="preserve"> </w:t>
      </w:r>
      <w:r>
        <w:t xml:space="preserve">for and from clinical psychological science.</w:t>
      </w:r>
      <w:r>
        <w:t xml:space="preserve"> </w:t>
      </w:r>
      <w:r>
        <w:rPr>
          <w:i/>
          <w:iCs/>
        </w:rPr>
        <w:t xml:space="preserve">Perspectives on Psychological Science</w:t>
      </w:r>
      <w:r>
        <w:t xml:space="preserve">,</w:t>
      </w:r>
      <w:r>
        <w:t xml:space="preserve"> </w:t>
      </w:r>
      <w:r>
        <w:rPr>
          <w:i/>
          <w:iCs/>
        </w:rPr>
        <w:t xml:space="preserve">12</w:t>
      </w:r>
      <w:r>
        <w:t xml:space="preserve">(5), 742–756.</w:t>
      </w:r>
      <w:r>
        <w:t xml:space="preserve"> </w:t>
      </w:r>
      <w:hyperlink r:id="rId56">
        <w:r>
          <w:rPr>
            <w:rStyle w:val="Hyperlink"/>
          </w:rPr>
          <w:t xml:space="preserve">https://doi.org/10.1177/1745691617690042</w:t>
        </w:r>
      </w:hyperlink>
    </w:p>
    <w:bookmarkEnd w:id="57"/>
    <w:bookmarkStart w:id="58" w:name="ref-turrell2025"/>
    <w:p>
      <w:pPr>
        <w:pStyle w:val="Bibliography"/>
      </w:pPr>
      <w:r>
        <w:t xml:space="preserve">Turrell, A., Monticone, P., Akyol, Z., Holman, J., &amp; Huang, Y. (2025).</w:t>
      </w:r>
      <w:r>
        <w:t xml:space="preserve"> </w:t>
      </w:r>
      <w:r>
        <w:rPr>
          <w:i/>
          <w:iCs/>
        </w:rPr>
        <w:t xml:space="preserve">Python for</w:t>
      </w:r>
      <w:r>
        <w:rPr>
          <w:i/>
          <w:iCs/>
        </w:rPr>
        <w:t xml:space="preserve"> </w:t>
      </w:r>
      <w:r>
        <w:rPr>
          <w:i/>
          <w:iCs/>
        </w:rPr>
        <w:t xml:space="preserve">Data Science</w:t>
      </w:r>
      <w:r>
        <w:t xml:space="preserve">.</w:t>
      </w:r>
    </w:p>
    <w:bookmarkEnd w:id="58"/>
    <w:bookmarkStart w:id="59" w:name="ref-ushey2025"/>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p>
    <w:bookmarkEnd w:id="59"/>
    <w:bookmarkStart w:id="60" w:name="ref-vantil2025"/>
    <w:p>
      <w:pPr>
        <w:pStyle w:val="Bibliography"/>
      </w:pPr>
      <w:r>
        <w:t xml:space="preserve">Van Til, K., Phillips, N., Du, T., Rose, L., Miller, J., &amp; Lynam, D. (2025).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60"/>
    <w:bookmarkStart w:id="61" w:name="ref-wickham2023"/>
    <w:p>
      <w:pPr>
        <w:pStyle w:val="Bibliography"/>
      </w:pPr>
      <w:r>
        <w:t xml:space="preserve">Wickham, H., Çetinkaya-Rundel, M., &amp; Grolemund, G. (2023).</w:t>
      </w:r>
      <w:r>
        <w:t xml:space="preserve"> </w:t>
      </w:r>
      <w:r>
        <w:rPr>
          <w:i/>
          <w:iCs/>
        </w:rPr>
        <w:t xml:space="preserve">R for</w:t>
      </w:r>
      <w:r>
        <w:rPr>
          <w:i/>
          <w:iCs/>
        </w:rPr>
        <w:t xml:space="preserve"> </w:t>
      </w:r>
      <w:r>
        <w:rPr>
          <w:i/>
          <w:iCs/>
        </w:rPr>
        <w:t xml:space="preserve">Data Science</w:t>
      </w:r>
      <w:r>
        <w:t xml:space="preserve"> </w:t>
      </w:r>
      <w:r>
        <w:t xml:space="preserve">(2nd ed.). O’Reilly Media.</w:t>
      </w:r>
    </w:p>
    <w:bookmarkEnd w:id="61"/>
    <w:bookmarkEnd w:id="62"/>
    <w:bookmarkStart w:id="64" w:name="tbl-readings"/>
    <w:p>
      <w:pPr>
        <w:pStyle w:val="FigureTitle"/>
      </w:pPr>
      <w:r>
        <w:t xml:space="preserve">Table 1</w:t>
      </w:r>
    </w:p>
    <w:p>
      <w:pPr>
        <w:pStyle w:val="Caption"/>
      </w:pPr>
      <w:r>
        <w:t xml:space="preserve">Recommended Readings</w:t>
      </w:r>
    </w:p>
    <w:bookmarkStart w:id="63" w:name="tbl-readings"/>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Tool</w:t>
            </w:r>
          </w:p>
        </w:tc>
        <w:tc>
          <w:tcPr/>
          <w:p>
            <w:pPr>
              <w:pStyle w:val="Compact"/>
              <w:jc w:val="left"/>
            </w:pPr>
            <w:r>
              <w:t xml:space="preserve">Readings</w:t>
            </w:r>
          </w:p>
        </w:tc>
      </w:tr>
      <w:tr>
        <w:tc>
          <w:tcPr/>
          <w:p>
            <w:pPr>
              <w:pStyle w:val="Compact"/>
              <w:jc w:val="left"/>
            </w:pPr>
            <w:r>
              <w:t xml:space="preserve">Code-based Workflows</w:t>
            </w:r>
          </w:p>
        </w:tc>
        <w:tc>
          <w:tcPr/>
          <w:p>
            <w:pPr>
              <w:pStyle w:val="Compact"/>
              <w:jc w:val="left"/>
            </w:pPr>
            <w:r>
              <w:t xml:space="preserve">Wickham et al. (</w:t>
            </w:r>
            <w:hyperlink w:anchor="ref-wickham2023">
              <w:r>
                <w:rPr>
                  <w:rStyle w:val="Hyperlink"/>
                </w:rPr>
                <w:t xml:space="preserve">2023</w:t>
              </w:r>
            </w:hyperlink>
            <w:r>
              <w:t xml:space="preserve">)</w:t>
            </w:r>
            <w:r>
              <w:t xml:space="preserve">,</w:t>
            </w:r>
            <w:r>
              <w:t xml:space="preserve"> </w:t>
            </w:r>
            <w:r>
              <w:t xml:space="preserve">Turrell et al. (</w:t>
            </w:r>
            <w:hyperlink w:anchor="ref-turrell2025">
              <w:r>
                <w:rPr>
                  <w:rStyle w:val="Hyperlink"/>
                </w:rPr>
                <w:t xml:space="preserve">2025</w:t>
              </w:r>
            </w:hyperlink>
            <w:r>
              <w:t xml:space="preserve">)</w:t>
            </w:r>
          </w:p>
        </w:tc>
      </w:tr>
      <w:tr>
        <w:tc>
          <w:tcPr/>
          <w:p>
            <w:pPr>
              <w:pStyle w:val="Compact"/>
              <w:jc w:val="left"/>
            </w:pPr>
            <w:r>
              <w:t xml:space="preserve">Literate Programming</w:t>
            </w:r>
          </w:p>
        </w:tc>
        <w:tc>
          <w:tcPr/>
          <w:p>
            <w:pPr>
              <w:pStyle w:val="Compact"/>
              <w:jc w:val="left"/>
            </w:pPr>
            <w:r>
              <w:t xml:space="preserve">2</w:t>
            </w:r>
          </w:p>
        </w:tc>
      </w:tr>
      <w:tr>
        <w:tc>
          <w:tcPr/>
          <w:p>
            <w:pPr>
              <w:pStyle w:val="Compact"/>
              <w:jc w:val="left"/>
            </w:pPr>
            <w:r>
              <w:t xml:space="preserve">Version Control</w:t>
            </w:r>
          </w:p>
        </w:tc>
        <w:tc>
          <w:tcPr/>
          <w:p>
            <w:pPr>
              <w:pStyle w:val="Compact"/>
              <w:jc w:val="left"/>
            </w:pPr>
            <w:r>
              <w:t xml:space="preserve">3</w:t>
            </w:r>
          </w:p>
        </w:tc>
      </w:tr>
      <w:tr>
        <w:tc>
          <w:tcPr/>
          <w:p>
            <w:pPr>
              <w:pStyle w:val="Compact"/>
              <w:jc w:val="left"/>
            </w:pPr>
            <w:r>
              <w:t xml:space="preserve">Dependency Management</w:t>
            </w:r>
          </w:p>
        </w:tc>
        <w:tc>
          <w:tcPr/>
          <w:p>
            <w:pPr>
              <w:pStyle w:val="Compact"/>
              <w:jc w:val="left"/>
            </w:pPr>
            <w:r>
              <w:t xml:space="preserve">4</w:t>
            </w:r>
          </w:p>
        </w:tc>
      </w:tr>
      <w:tr>
        <w:tc>
          <w:tcPr/>
          <w:p>
            <w:pPr>
              <w:pStyle w:val="Compact"/>
              <w:jc w:val="left"/>
            </w:pPr>
            <w:r>
              <w:t xml:space="preserve">Containerization</w:t>
            </w:r>
          </w:p>
        </w:tc>
        <w:tc>
          <w:tcPr/>
          <w:p>
            <w:pPr>
              <w:pStyle w:val="Compact"/>
              <w:jc w:val="left"/>
            </w:pPr>
            <w:r>
              <w:t xml:space="preserve">Boettiger and Eddelbuettel (</w:t>
            </w:r>
            <w:hyperlink w:anchor="ref-boettiger2017">
              <w:r>
                <w:rPr>
                  <w:rStyle w:val="Hyperlink"/>
                </w:rPr>
                <w:t xml:space="preserve">2017</w:t>
              </w:r>
            </w:hyperlink>
            <w:r>
              <w:t xml:space="preserve">)</w:t>
            </w:r>
          </w:p>
        </w:tc>
      </w:tr>
    </w:tbl>
    <w:bookmarkEnd w:id="63"/>
    <w:bookmarkEnd w:id="64"/>
    <w:p>
      <w:r>
        <w:br w:type="page"/>
      </w:r>
    </w:p>
    <w:bookmarkEnd w:id="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This article was created using Quarto. See</w:t>
      </w:r>
      <w:r>
        <w:t xml:space="preserve"> </w:t>
      </w:r>
      <w:hyperlink r:id="rId26">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56" Target="https://doi.org/10.1177/1745691617690042" TargetMode="External" /><Relationship Type="http://schemas.openxmlformats.org/officeDocument/2006/relationships/hyperlink" Id="rId48" Target="https://doi.org/10/ghgdtz"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77/1745691617690042" TargetMode="External" /><Relationship Type="http://schemas.openxmlformats.org/officeDocument/2006/relationships/hyperlink" Id="rId48" Target="https://doi.org/10/ghgdtz"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2025-10-21T15:45:39Z</dcterms:created>
  <dcterms:modified xsi:type="dcterms:W3CDTF">2025-10-21T15:45:39Z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3171</vt:lpwstr>
  </property>
  <property fmtid="{D5CDD505-2E9C-101B-9397-08002B2CF9AE}" pid="63" name="zerocitations">
    <vt:lpwstr>False</vt:lpwstr>
  </property>
</Properties>
</file>