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bookmarkStart w:id="12" w:name="fig-right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</w:t>
      </w:r>
    </w:p>
    <w:p>
      <w:pPr>
        <w:pStyle w:val="BodyText"/>
      </w:pPr>
      <w:r>
        <w:t xml:space="preserve">The rule starts below the figure, so the next figure starts on a clear</w:t>
      </w:r>
      <w:r>
        <w:t xml:space="preserve"> </w:t>
      </w:r>
      <w:r>
        <w:t xml:space="preserve">line.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bookmarkStart w:id="16" w:name="fig-left"/>
    <w:p>
      <w:pPr>
        <w:pStyle w:val="FirstParagraph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</w:t>
      </w:r>
    </w:p>
    <w:p>
      <w:pPr>
        <w:pStyle w:val="BodyText"/>
      </w:pPr>
      <w:r>
        <w:t xml:space="preserve">The heading after this paragraph stops the second wrap.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2026-10-28T20:03:03Z</dcterms:created>
  <dcterms:modified xsi:type="dcterms:W3CDTF">2026-10-28T20:03:03Z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