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groups"/>
    <w:p>
      <w:pPr>
        <w:pStyle w:val="FirstParagraph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</w:t>
      </w:r>
    </w:p>
    <w:p>
      <w:pPr>
        <w:pStyle w:val="BodyText"/>
      </w:pPr>
      <w:r>
        <w:t xml:space="preserve">The div form puts the caption in its own paragraph, which is easier to</w:t>
      </w:r>
      <w:r>
        <w:t xml:space="preserve"> </w:t>
      </w:r>
      <w:r>
        <w:t xml:space="preserve">read and edit when the caption is long. The figure keeps its number, so</w:t>
      </w:r>
      <w:r>
        <w:t xml:space="preserve"> </w:t>
      </w:r>
      <w:r>
        <w:t xml:space="preserve">the text can point to it.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2026-10-28T20:02:50Z</dcterms:created>
  <dcterms:modified xsi:type="dcterms:W3CDTF">2026-10-28T20:02:50Z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