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Each format converts both values to its own units.</w:t>
      </w:r>
    </w:p>
    <w:p>
      <w:pPr>
        <w:pStyle w:val="BodyText"/>
      </w:pPr>
      <w:r>
        <w:t xml:space="preserve">A percent width, such as the default 40%, is a share of the text width</w:t>
      </w:r>
      <w:r>
        <w:t xml:space="preserve"> </w:t>
      </w:r>
      <w:r>
        <w:t xml:space="preserve">instead. Use a percent when the same document renders to pages of</w:t>
      </w:r>
      <w:r>
        <w:t xml:space="preserve"> </w:t>
      </w:r>
      <w:r>
        <w:t xml:space="preserve">different widths.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2026-10-28T17:37:42Z</dcterms:created>
  <dcterms:modified xsi:type="dcterms:W3CDTF">2026-10-28T17:37:42Z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