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AF" w:rsidRDefault="000321AF" w:rsidP="00330F67">
      <w:pPr>
        <w:pStyle w:val="ecmsonormal"/>
        <w:shd w:val="clear" w:color="auto" w:fill="FFFFFF"/>
        <w:rPr>
          <w:rFonts w:ascii="Calibri" w:hAnsi="Calibri" w:cs="Segoe UI"/>
          <w:color w:val="1F497D"/>
          <w:sz w:val="22"/>
          <w:szCs w:val="22"/>
        </w:rPr>
      </w:pPr>
      <w:r>
        <w:rPr>
          <w:rFonts w:ascii="Calibri" w:hAnsi="Calibri" w:cs="Segoe UI"/>
          <w:color w:val="1F497D"/>
          <w:sz w:val="22"/>
          <w:szCs w:val="22"/>
        </w:rPr>
        <w:t>Resumen de la reunión en el Tec el Lunes 18 de Mayo del 2009</w:t>
      </w:r>
      <w:r w:rsidR="009C6CDA">
        <w:rPr>
          <w:rFonts w:ascii="Calibri" w:hAnsi="Calibri" w:cs="Segoe UI"/>
          <w:color w:val="1F497D"/>
          <w:sz w:val="22"/>
          <w:szCs w:val="22"/>
        </w:rPr>
        <w:t xml:space="preserve"> a las 19h00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A continuación comparto con ustedes definiciones realizadas el día de ayer respecto del trabajo de la referencia: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 Conjunto de datos: Producción de fundas plásticas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 Tiempo de análisis: 2 Meses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 Variables a ser analizadas: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Calibri" w:hAnsi="Calibri" w:cs="Segoe UI"/>
          <w:color w:val="1F497D"/>
          <w:sz w:val="22"/>
          <w:szCs w:val="22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 xml:space="preserve">Máquina (11 máquinas) 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Turno (2 por día)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Día (60 días)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Total Producción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Medida base para análisis: PESO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Relaciones a revisar: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Eficiencia en el procesos de producción para las variables anteriores.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Rendimiento de máquina por semana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Salidas: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Análisis de datos no agrupados</w:t>
      </w:r>
    </w:p>
    <w:p w:rsidR="00330F67" w:rsidRDefault="00330F67" w:rsidP="00330F67">
      <w:pPr>
        <w:pStyle w:val="ecmsolistparagraph"/>
        <w:shd w:val="clear" w:color="auto" w:fill="FFFFFF"/>
        <w:ind w:left="1440"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 xml:space="preserve">   </w:t>
      </w:r>
      <w:r>
        <w:rPr>
          <w:rFonts w:ascii="Calibri" w:hAnsi="Calibri" w:cs="Segoe UI"/>
          <w:color w:val="1F497D"/>
          <w:sz w:val="22"/>
          <w:szCs w:val="22"/>
        </w:rPr>
        <w:t>Media, Mediana, Moda, …, Varianza, Desviación, … por caso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Análisis de datos agrupados</w:t>
      </w:r>
    </w:p>
    <w:p w:rsidR="00330F67" w:rsidRDefault="00330F67" w:rsidP="00330F67">
      <w:pPr>
        <w:pStyle w:val="ecmsolistparagraph"/>
        <w:shd w:val="clear" w:color="auto" w:fill="FFFFFF"/>
        <w:ind w:left="1440"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 xml:space="preserve">   </w:t>
      </w:r>
      <w:r>
        <w:rPr>
          <w:rFonts w:ascii="Calibri" w:hAnsi="Calibri" w:cs="Segoe UI"/>
          <w:color w:val="1F497D"/>
          <w:sz w:val="22"/>
          <w:szCs w:val="22"/>
        </w:rPr>
        <w:t>Generación de tabla de distribución de frecuencias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Gráficas</w:t>
      </w:r>
    </w:p>
    <w:p w:rsidR="00330F67" w:rsidRDefault="00330F67" w:rsidP="00330F67">
      <w:pPr>
        <w:pStyle w:val="ecmsolistparagraph"/>
        <w:shd w:val="clear" w:color="auto" w:fill="FFFFFF"/>
        <w:ind w:left="1440"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 xml:space="preserve">   </w:t>
      </w:r>
      <w:r>
        <w:rPr>
          <w:rFonts w:ascii="Calibri" w:hAnsi="Calibri" w:cs="Segoe UI"/>
          <w:color w:val="1F497D"/>
          <w:sz w:val="22"/>
          <w:szCs w:val="22"/>
        </w:rPr>
        <w:t>Histograma, Ojiva y Caja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Determinar tipo de distribución, justificar tamaño de la muestra, otras salidas características del tipo de distribución seleccionada.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lastRenderedPageBreak/>
        <w:t>Conclusiones esperadas: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Productividad</w:t>
      </w:r>
    </w:p>
    <w:p w:rsid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Opciones y acciones de mejora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Próximos pasos:</w:t>
      </w:r>
    </w:p>
    <w:p w:rsidR="00330F67" w:rsidRDefault="00330F67" w:rsidP="00330F67">
      <w:pPr>
        <w:pStyle w:val="ecmsonormal"/>
        <w:shd w:val="clear" w:color="auto" w:fill="FFFFFF"/>
        <w:ind w:firstLine="708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-Gabriel se encuentra agrupando y ordenando datos para iniciar análisis con lo referente a Estadística.</w:t>
      </w:r>
    </w:p>
    <w:p w:rsidR="00330F67" w:rsidRDefault="00330F67" w:rsidP="00330F67">
      <w:pPr>
        <w:pStyle w:val="ecmsonormal"/>
        <w:shd w:val="clear" w:color="auto" w:fill="FFFFFF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Siguiente reunión:</w:t>
      </w:r>
    </w:p>
    <w:p w:rsidR="00AC5BE2" w:rsidRPr="00330F67" w:rsidRDefault="00330F67" w:rsidP="00330F67">
      <w:pPr>
        <w:pStyle w:val="ecmsolistparagraph"/>
        <w:shd w:val="clear" w:color="auto" w:fill="FFFFFF"/>
        <w:ind w:hanging="36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Calibri" w:hAnsi="Calibri" w:cs="Segoe U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Segoe UI"/>
          <w:color w:val="1F497D"/>
          <w:sz w:val="22"/>
          <w:szCs w:val="22"/>
        </w:rPr>
        <w:t>Esperamos confirmación en cuanto a preparación de datos, tentativamente: Miércoles 20, en el TEC, propongo 18H45.</w:t>
      </w:r>
    </w:p>
    <w:sectPr w:rsidR="00AC5BE2" w:rsidRPr="00330F67" w:rsidSect="00AC5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0F67"/>
    <w:rsid w:val="000321AF"/>
    <w:rsid w:val="00330F67"/>
    <w:rsid w:val="009C6CDA"/>
    <w:rsid w:val="00AC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330F6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ecmsolistparagraph">
    <w:name w:val="ec_msolistparagraph"/>
    <w:basedOn w:val="Normal"/>
    <w:rsid w:val="00330F6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63337134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4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19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07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Wilian</cp:lastModifiedBy>
  <cp:revision>3</cp:revision>
  <dcterms:created xsi:type="dcterms:W3CDTF">2009-05-19T18:50:00Z</dcterms:created>
  <dcterms:modified xsi:type="dcterms:W3CDTF">2009-05-19T18:54:00Z</dcterms:modified>
</cp:coreProperties>
</file>