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60"/>
      </w:pPr>
      <w:r>
        <w:rPr>
          <w:rFonts w:ascii="Calibri" w:hAnsi="Calibri" w:eastAsia="Malgun Gothic"/>
          <w:b/>
          <w:color w:val="2E74B5"/>
          <w:sz w:val="20"/>
        </w:rPr>
        <w:t>PHASE 3  ·  STEP 26</w:t>
      </w:r>
    </w:p>
    <w:p>
      <w:pPr>
        <w:spacing w:before="720" w:after="200"/>
        <w:jc w:val="center"/>
      </w:pPr>
      <w:r>
        <w:rPr>
          <w:rFonts w:ascii="Calibri" w:hAnsi="Calibri" w:eastAsia="Malgun Gothic"/>
          <w:b/>
          <w:color w:val="0B2545"/>
          <w:sz w:val="60"/>
        </w:rPr>
        <w:t>Display BOM AI Agent</w:t>
      </w:r>
    </w:p>
    <w:p>
      <w:pPr>
        <w:spacing w:after="360"/>
        <w:jc w:val="center"/>
      </w:pPr>
      <w:r>
        <w:rPr>
          <w:rFonts w:ascii="Calibri" w:hAnsi="Calibri" w:eastAsia="Malgun Gothic"/>
          <w:b/>
          <w:color w:val="2E74B5"/>
          <w:sz w:val="44"/>
        </w:rPr>
        <w:t>v3.0 개발 방향성</w:t>
      </w:r>
    </w:p>
    <w:p>
      <w:pPr>
        <w:spacing w:after="1440"/>
        <w:jc w:val="center"/>
      </w:pPr>
      <w:r>
        <w:rPr>
          <w:rFonts w:ascii="Calibri" w:hAnsi="Calibri" w:eastAsia="Malgun Gothic"/>
          <w:color w:val="667085"/>
          <w:sz w:val="25"/>
        </w:rPr>
        <w:t>대체 MATERIAL·ASSY 추천, 복합 설계변경, 안전한 Apply와 LLM 추론학습 기반</w:t>
      </w:r>
    </w:p>
    <w:p>
      <w:pPr>
        <w:spacing w:after="120"/>
        <w:jc w:val="center"/>
      </w:pPr>
      <w:r>
        <w:rPr>
          <w:rFonts w:ascii="Calibri" w:hAnsi="Calibri" w:eastAsia="Malgun Gothic"/>
          <w:b/>
          <w:color w:val="0B2545"/>
          <w:sz w:val="22"/>
        </w:rPr>
        <w:t>Target Version  v3.0.0</w:t>
      </w:r>
    </w:p>
    <w:p>
      <w:pPr>
        <w:spacing w:after="120"/>
        <w:jc w:val="center"/>
      </w:pPr>
      <w:r>
        <w:rPr>
          <w:rFonts w:ascii="Calibri" w:hAnsi="Calibri" w:eastAsia="Malgun Gothic"/>
          <w:color w:val="0B2545"/>
          <w:sz w:val="22"/>
        </w:rPr>
        <w:t>Development Start  STEP26</w:t>
      </w:r>
    </w:p>
    <w:p>
      <w:pPr>
        <w:jc w:val="center"/>
      </w:pPr>
      <w:r>
        <w:rPr>
          <w:rFonts w:ascii="Calibri" w:hAnsi="Calibri" w:eastAsia="Malgun Gothic"/>
          <w:color w:val="667085"/>
          <w:sz w:val="20"/>
        </w:rPr>
        <w:t>2026-08-14</w:t>
      </w:r>
    </w:p>
    <w:p>
      <w:r>
        <w:br w:type="page"/>
      </w:r>
    </w:p>
    <w:p>
      <w:pPr>
        <w:pStyle w:val="Heading1"/>
        <w:keepNext/>
        <w:spacing w:after="280"/>
      </w:pPr>
      <w:r>
        <w:t>Contents</w:t>
      </w:r>
    </w:p>
    <w:p>
      <w:pPr>
        <w:pStyle w:val="ListNumber"/>
      </w:pPr>
      <w:r>
        <w:rPr>
          <w:rFonts w:ascii="Calibri" w:hAnsi="Calibri" w:eastAsia="Malgun Gothic"/>
          <w:color w:val="0B2545"/>
          <w:sz w:val="21"/>
        </w:rPr>
        <w:t>Executive Summary</w:t>
      </w:r>
    </w:p>
    <w:p>
      <w:pPr>
        <w:pStyle w:val="ListNumber"/>
      </w:pPr>
      <w:r>
        <w:rPr>
          <w:rFonts w:ascii="Calibri" w:hAnsi="Calibri" w:eastAsia="Malgun Gothic"/>
          <w:color w:val="0B2545"/>
          <w:sz w:val="21"/>
        </w:rPr>
        <w:t>Phase2 방향성과 실제 완료 결과</w:t>
      </w:r>
    </w:p>
    <w:p>
      <w:pPr>
        <w:pStyle w:val="ListNumber"/>
      </w:pPr>
      <w:r>
        <w:rPr>
          <w:rFonts w:ascii="Calibri" w:hAnsi="Calibri" w:eastAsia="Malgun Gothic"/>
          <w:color w:val="0B2545"/>
          <w:sz w:val="21"/>
        </w:rPr>
        <w:t>Phase3 목표와 성공 정의</w:t>
      </w:r>
    </w:p>
    <w:p>
      <w:pPr>
        <w:pStyle w:val="ListNumber"/>
      </w:pPr>
      <w:r>
        <w:rPr>
          <w:rFonts w:ascii="Calibri" w:hAnsi="Calibri" w:eastAsia="Malgun Gothic"/>
          <w:color w:val="0B2545"/>
          <w:sz w:val="21"/>
        </w:rPr>
        <w:t>목표 Architecture</w:t>
      </w:r>
    </w:p>
    <w:p>
      <w:pPr>
        <w:pStyle w:val="ListNumber"/>
      </w:pPr>
      <w:r>
        <w:rPr>
          <w:rFonts w:ascii="Calibri" w:hAnsi="Calibri" w:eastAsia="Malgun Gothic"/>
          <w:color w:val="0B2545"/>
          <w:sz w:val="21"/>
        </w:rPr>
        <w:t>역할과 안전 경계</w:t>
      </w:r>
    </w:p>
    <w:p>
      <w:pPr>
        <w:pStyle w:val="ListNumber"/>
      </w:pPr>
      <w:r>
        <w:rPr>
          <w:rFonts w:ascii="Calibri" w:hAnsi="Calibri" w:eastAsia="Malgun Gothic"/>
          <w:color w:val="0B2545"/>
          <w:sz w:val="21"/>
        </w:rPr>
        <w:t>지원 Action과 복수 변경</w:t>
      </w:r>
    </w:p>
    <w:p>
      <w:pPr>
        <w:pStyle w:val="ListNumber"/>
      </w:pPr>
      <w:r>
        <w:rPr>
          <w:rFonts w:ascii="Calibri" w:hAnsi="Calibri" w:eastAsia="Malgun Gothic"/>
          <w:color w:val="0B2545"/>
          <w:sz w:val="21"/>
        </w:rPr>
        <w:t>추천과 판정 모델</w:t>
      </w:r>
    </w:p>
    <w:p>
      <w:pPr>
        <w:pStyle w:val="ListNumber"/>
      </w:pPr>
      <w:r>
        <w:rPr>
          <w:rFonts w:ascii="Calibri" w:hAnsi="Calibri" w:eastAsia="Malgun Gothic"/>
          <w:color w:val="0B2545"/>
          <w:sz w:val="21"/>
        </w:rPr>
        <w:t>조건부 후보와 승인 정책</w:t>
      </w:r>
    </w:p>
    <w:p>
      <w:pPr>
        <w:pStyle w:val="ListNumber"/>
      </w:pPr>
      <w:r>
        <w:rPr>
          <w:rFonts w:ascii="Calibri" w:hAnsi="Calibri" w:eastAsia="Malgun Gothic"/>
          <w:color w:val="0B2545"/>
          <w:sz w:val="21"/>
        </w:rPr>
        <w:t>공용 ASSY 처리</w:t>
      </w:r>
    </w:p>
    <w:p>
      <w:pPr>
        <w:pStyle w:val="ListNumber"/>
      </w:pPr>
      <w:r>
        <w:rPr>
          <w:rFonts w:ascii="Calibri" w:hAnsi="Calibri" w:eastAsia="Malgun Gothic"/>
          <w:color w:val="0B2545"/>
          <w:sz w:val="21"/>
        </w:rPr>
        <w:t>공급사·원가·납기·재고·생산계획</w:t>
      </w:r>
    </w:p>
    <w:p>
      <w:pPr>
        <w:pStyle w:val="ListNumber"/>
      </w:pPr>
      <w:r>
        <w:rPr>
          <w:rFonts w:ascii="Calibri" w:hAnsi="Calibri" w:eastAsia="Malgun Gothic"/>
          <w:color w:val="0B2545"/>
          <w:sz w:val="21"/>
        </w:rPr>
        <w:t>Rule 관리 UI</w:t>
      </w:r>
    </w:p>
    <w:p>
      <w:pPr>
        <w:pStyle w:val="ListNumber"/>
      </w:pPr>
      <w:r>
        <w:rPr>
          <w:rFonts w:ascii="Calibri" w:hAnsi="Calibri" w:eastAsia="Malgun Gothic"/>
          <w:color w:val="0B2545"/>
          <w:sz w:val="21"/>
        </w:rPr>
        <w:t>데이터 아키텍처 확장</w:t>
      </w:r>
    </w:p>
    <w:p>
      <w:pPr>
        <w:pStyle w:val="ListNumber"/>
      </w:pPr>
      <w:r>
        <w:rPr>
          <w:rFonts w:ascii="Calibri" w:hAnsi="Calibri" w:eastAsia="Malgun Gothic"/>
          <w:color w:val="0B2545"/>
          <w:sz w:val="21"/>
        </w:rPr>
        <w:t>10개 사례와 샘플데이터</w:t>
      </w:r>
    </w:p>
    <w:p>
      <w:pPr>
        <w:pStyle w:val="ListNumber"/>
      </w:pPr>
      <w:r>
        <w:rPr>
          <w:rFonts w:ascii="Calibri" w:hAnsi="Calibri" w:eastAsia="Malgun Gothic"/>
          <w:color w:val="0B2545"/>
          <w:sz w:val="21"/>
        </w:rPr>
        <w:t>Agent 채팅과 화면 구성</w:t>
      </w:r>
    </w:p>
    <w:p>
      <w:pPr>
        <w:pStyle w:val="ListNumber"/>
      </w:pPr>
      <w:r>
        <w:rPr>
          <w:rFonts w:ascii="Calibri" w:hAnsi="Calibri" w:eastAsia="Malgun Gothic"/>
          <w:color w:val="0B2545"/>
          <w:sz w:val="21"/>
        </w:rPr>
        <w:t>학습 데이터 수집</w:t>
      </w:r>
    </w:p>
    <w:p>
      <w:pPr>
        <w:pStyle w:val="ListNumber"/>
      </w:pPr>
      <w:r>
        <w:rPr>
          <w:rFonts w:ascii="Calibri" w:hAnsi="Calibri" w:eastAsia="Malgun Gothic"/>
          <w:color w:val="0B2545"/>
          <w:sz w:val="21"/>
        </w:rPr>
        <w:t>Phase3 이후 LLM 추론학습 계획</w:t>
      </w:r>
    </w:p>
    <w:p>
      <w:pPr>
        <w:pStyle w:val="ListNumber"/>
      </w:pPr>
      <w:r>
        <w:rPr>
          <w:rFonts w:ascii="Calibri" w:hAnsi="Calibri" w:eastAsia="Malgun Gothic"/>
          <w:color w:val="0B2545"/>
          <w:sz w:val="21"/>
        </w:rPr>
        <w:t>RAG와 Text-to-SQL</w:t>
      </w:r>
    </w:p>
    <w:p>
      <w:pPr>
        <w:pStyle w:val="ListNumber"/>
      </w:pPr>
      <w:r>
        <w:rPr>
          <w:rFonts w:ascii="Calibri" w:hAnsi="Calibri" w:eastAsia="Malgun Gothic"/>
          <w:color w:val="0B2545"/>
          <w:sz w:val="21"/>
        </w:rPr>
        <w:t>STEP26 통합 개발 순서</w:t>
      </w:r>
    </w:p>
    <w:p>
      <w:pPr>
        <w:pStyle w:val="ListNumber"/>
      </w:pPr>
      <w:r>
        <w:rPr>
          <w:rFonts w:ascii="Calibri" w:hAnsi="Calibri" w:eastAsia="Malgun Gothic"/>
          <w:color w:val="0B2545"/>
          <w:sz w:val="21"/>
        </w:rPr>
        <w:t>테스트와 완료 기준</w:t>
      </w:r>
    </w:p>
    <w:p>
      <w:pPr>
        <w:pStyle w:val="ListNumber"/>
      </w:pPr>
      <w:r>
        <w:rPr>
          <w:rFonts w:ascii="Calibri" w:hAnsi="Calibri" w:eastAsia="Malgun Gothic"/>
          <w:color w:val="0B2545"/>
          <w:sz w:val="21"/>
        </w:rPr>
        <w:t>제외 범위와 후속 검토</w:t>
      </w:r>
    </w:p>
    <w:p>
      <w:pPr>
        <w:pStyle w:val="ListNumber"/>
      </w:pPr>
      <w:r>
        <w:rPr>
          <w:rFonts w:ascii="Calibri" w:hAnsi="Calibri" w:eastAsia="Malgun Gothic"/>
          <w:color w:val="0B2545"/>
          <w:sz w:val="21"/>
        </w:rPr>
        <w:t>최종 지향점</w:t>
      </w:r>
    </w:p>
    <w:p>
      <w:r>
        <w:br w:type="page"/>
      </w:r>
    </w:p>
    <w:p>
      <w:pPr>
        <w:pStyle w:val="Heading1"/>
        <w:keepNext/>
      </w:pPr>
      <w:r>
        <w:t>문서 정보</w:t>
      </w:r>
    </w:p>
    <w:p>
      <w:pPr>
        <w:pStyle w:val="ListBullet"/>
      </w:pPr>
      <w:r>
        <w:rPr>
          <w:rFonts w:ascii="Calibri" w:hAnsi="Calibri" w:eastAsia="Malgun Gothic"/>
          <w:color w:val="202124"/>
          <w:sz w:val="22"/>
        </w:rPr>
        <w:t>목표 버전: v3.0.0</w:t>
      </w:r>
    </w:p>
    <w:p>
      <w:pPr>
        <w:pStyle w:val="ListBullet"/>
      </w:pPr>
      <w:r>
        <w:rPr>
          <w:rFonts w:ascii="Calibri" w:hAnsi="Calibri" w:eastAsia="Malgun Gothic"/>
          <w:color w:val="202124"/>
          <w:sz w:val="22"/>
        </w:rPr>
        <w:t>개발 시작 단계: STEP26</w:t>
      </w:r>
    </w:p>
    <w:p>
      <w:pPr>
        <w:pStyle w:val="ListBullet"/>
      </w:pPr>
      <w:r>
        <w:rPr>
          <w:rFonts w:ascii="Calibri" w:hAnsi="Calibri" w:eastAsia="Malgun Gothic"/>
          <w:color w:val="202124"/>
          <w:sz w:val="22"/>
        </w:rPr>
        <w:t>기준일: 2026-08-14</w:t>
      </w:r>
    </w:p>
    <w:p>
      <w:pPr>
        <w:pStyle w:val="ListBullet"/>
      </w:pPr>
      <w:r>
        <w:rPr>
          <w:rFonts w:ascii="Calibri" w:hAnsi="Calibri" w:eastAsia="Malgun Gothic"/>
          <w:color w:val="202124"/>
          <w:sz w:val="22"/>
        </w:rPr>
        <w:t>기준 버전: Phase2 v2.0.0 완료 상태</w:t>
      </w:r>
    </w:p>
    <w:p>
      <w:pPr>
        <w:pStyle w:val="ListBullet"/>
      </w:pPr>
      <w:r>
        <w:rPr>
          <w:rFonts w:ascii="Calibri" w:hAnsi="Calibri" w:eastAsia="Malgun Gothic"/>
          <w:color w:val="202124"/>
          <w:sz w:val="22"/>
        </w:rPr>
        <w:t>문서 목적: Phase2 완료 결과를 기준으로 Phase3의 업무 범위, 아키텍처, 데이터, Rule, 승인, 검증 및 LLM 학습 방향을 확정한다.</w:t>
      </w:r>
    </w:p>
    <w:p>
      <w:pPr>
        <w:pStyle w:val="Heading1"/>
        <w:keepNext/>
      </w:pPr>
      <w:r>
        <w:t>1. Executive Summary</w:t>
      </w:r>
    </w:p>
    <w:p>
      <w:r>
        <w:rPr>
          <w:rFonts w:ascii="Calibri" w:hAnsi="Calibri" w:eastAsia="Malgun Gothic"/>
          <w:color w:val="202124"/>
          <w:sz w:val="22"/>
        </w:rPr>
        <w:t>Phase2는 CSV Runtime을 제거하고 SQLite 단일 Runtime, MCP 기반 업무 경로, 승인 후 Production Apply, Transaction 및 Rollback을 완성했다. Phase3는 이 안정된 기반 위에서 단순 지정 자재 교체 기능을 자연어 기반 대체 자재·ASSY 추천 Agent로 고도화한다.</w:t>
      </w:r>
    </w:p>
    <w:p>
      <w:r>
        <w:rPr>
          <w:rFonts w:ascii="Calibri" w:hAnsi="Calibri" w:eastAsia="Malgun Gothic"/>
          <w:color w:val="202124"/>
          <w:sz w:val="22"/>
        </w:rPr>
        <w:t>Phase3의 Agent는 “A모델의 C자재가 단종되어 변경해야 한다. 변경 가능한 자재를 찾아달라”는 요청을 이해하고 설계변경 사유를 분류한다. 이후 MATERIAL과 ASSY 후보를 탐색하고 원가, 납기, 재고, 품질, 공급 안정성, 규제 및 공용 ASSY 영향을 평가한다. 사용자는 자재와 주 공급사를 선택하여 1차 승인하고, 전체 영향 Preview를 확인하여 최종 Apply를 2차 승인한다.</w:t>
      </w:r>
    </w:p>
    <w:p>
      <w:r>
        <w:rPr>
          <w:rFonts w:ascii="Calibri" w:hAnsi="Calibri" w:eastAsia="Malgun Gothic"/>
          <w:color w:val="202124"/>
          <w:sz w:val="22"/>
        </w:rPr>
        <w:t>Phase3는 Rule 기반 추천 시스템의 완성만을 목표로 하지 않는다. 모든 요청, 후보, 판정 근거, 승인·반려, Apply 및 적용 후 성과를 학습 데이터로 축적하여 Phase3 이후 LLM이 설계변경 분석·검증·추천을 직접 수행할 수 있는 추론학습 기반을 함께 구축한다.</w:t>
      </w:r>
    </w:p>
    <w:p>
      <w:pPr>
        <w:pStyle w:val="Heading1"/>
        <w:keepNext/>
      </w:pPr>
      <w:r>
        <w:t>2. Phase2 방향성과 실제 완료 결과</w:t>
      </w:r>
    </w:p>
    <w:p>
      <w:pPr>
        <w:pStyle w:val="Heading2"/>
        <w:keepNext/>
      </w:pPr>
      <w:r>
        <w:t>2.1 Phase2에서 완료된 사항</w:t>
      </w:r>
    </w:p>
    <w:p>
      <w:pPr>
        <w:pStyle w:val="ListBullet"/>
      </w:pPr>
      <w:r>
        <w:rPr>
          <w:rFonts w:ascii="Calibri" w:hAnsi="Calibri" w:eastAsia="Malgun Gothic"/>
          <w:color w:val="202124"/>
          <w:sz w:val="22"/>
        </w:rPr>
        <w:t>Single LangGraph Agent와 Display BOM MCP Server 유지</w:t>
      </w:r>
    </w:p>
    <w:p>
      <w:pPr>
        <w:pStyle w:val="ListBullet"/>
      </w:pPr>
      <w:r>
        <w:rPr>
          <w:rFonts w:ascii="Calibri" w:hAnsi="Calibri" w:eastAsia="Malgun Gothic"/>
          <w:color w:val="202124"/>
          <w:sz w:val="22"/>
        </w:rPr>
        <w:t>CSV Runtime, CSV Repository, CSV 파일 및 저장소 선택 기능 제거</w:t>
      </w:r>
    </w:p>
    <w:p>
      <w:pPr>
        <w:pStyle w:val="ListBullet"/>
      </w:pPr>
      <w:r>
        <w:rPr>
          <w:rFonts w:ascii="Calibri" w:hAnsi="Calibri" w:eastAsia="Malgun Gothic"/>
          <w:color w:val="202124"/>
          <w:sz w:val="22"/>
        </w:rPr>
        <w:t>제품, 자재, BOM, 설계변경, Review, 품평, 보고서, Apply의 SQLite 전환</w:t>
      </w:r>
    </w:p>
    <w:p>
      <w:pPr>
        <w:pStyle w:val="ListBullet"/>
      </w:pPr>
      <w:r>
        <w:rPr>
          <w:rFonts w:ascii="Calibri" w:hAnsi="Calibri" w:eastAsia="Malgun Gothic"/>
          <w:color w:val="202124"/>
          <w:sz w:val="22"/>
        </w:rPr>
        <w:t>MCP Server → Domain Service → SQLite Repository 경로 통일</w:t>
      </w:r>
    </w:p>
    <w:p>
      <w:pPr>
        <w:pStyle w:val="ListBullet"/>
      </w:pPr>
      <w:r>
        <w:rPr>
          <w:rFonts w:ascii="Calibri" w:hAnsi="Calibri" w:eastAsia="Malgun Gothic"/>
          <w:color w:val="202124"/>
          <w:sz w:val="22"/>
        </w:rPr>
        <w:t>사용자 승인 전 Production Apply 차단</w:t>
      </w:r>
    </w:p>
    <w:p>
      <w:pPr>
        <w:pStyle w:val="ListBullet"/>
      </w:pPr>
      <w:r>
        <w:rPr>
          <w:rFonts w:ascii="Calibri" w:hAnsi="Calibri" w:eastAsia="Malgun Gothic"/>
          <w:color w:val="202124"/>
          <w:sz w:val="22"/>
        </w:rPr>
        <w:t>SQLite Transaction 기반 Apply와 실패 시 Rollback</w:t>
      </w:r>
    </w:p>
    <w:p>
      <w:pPr>
        <w:pStyle w:val="ListBullet"/>
      </w:pPr>
      <w:r>
        <w:rPr>
          <w:rFonts w:ascii="Calibri" w:hAnsi="Calibri" w:eastAsia="Malgun Gothic"/>
          <w:color w:val="202124"/>
          <w:sz w:val="22"/>
        </w:rPr>
        <w:t>설계변경·품평·적용 이력 조회</w:t>
      </w:r>
    </w:p>
    <w:p>
      <w:pPr>
        <w:pStyle w:val="ListBullet"/>
      </w:pPr>
      <w:r>
        <w:rPr>
          <w:rFonts w:ascii="Calibri" w:hAnsi="Calibri" w:eastAsia="Malgun Gothic"/>
          <w:color w:val="202124"/>
          <w:sz w:val="22"/>
        </w:rPr>
        <w:t>Word·Excel 산출물 생성과 Agent 채팅 다운로드</w:t>
      </w:r>
    </w:p>
    <w:p>
      <w:pPr>
        <w:pStyle w:val="ListBullet"/>
      </w:pPr>
      <w:r>
        <w:rPr>
          <w:rFonts w:ascii="Calibri" w:hAnsi="Calibri" w:eastAsia="Malgun Gothic"/>
          <w:color w:val="202124"/>
          <w:sz w:val="22"/>
        </w:rPr>
        <w:t>SQLite-only 검증과 전체 회귀 테스트 정상 확인</w:t>
      </w:r>
    </w:p>
    <w:p>
      <w:pPr>
        <w:pStyle w:val="Heading2"/>
        <w:keepNext/>
      </w:pPr>
      <w:r>
        <w:t>2.2 Phase2 초기 계획에서 조정된 사항</w:t>
      </w:r>
    </w:p>
    <w:p>
      <w:r>
        <w:rPr>
          <w:rFonts w:ascii="Calibri" w:hAnsi="Calibri" w:eastAsia="Malgun Gothic"/>
          <w:color w:val="202124"/>
          <w:sz w:val="22"/>
        </w:rPr>
        <w:t>Phase2 시작 문서에는 RAG와 Text-to-SQL이 포함됐으나 실제 업무 데이터와 사용 사례를 검토한 결과 적용 필요성이 충분하지 않아 구현하지 않았다. 구조를 복잡하게 만들기 위한 기술 도입은 피하고, 정형 BOM 업무는 명시적 MCP Tool과 Domain Service를 통해 처리하는 원칙을 유지했다.</w:t>
      </w:r>
    </w:p>
    <w:p>
      <w:pPr>
        <w:pStyle w:val="Heading2"/>
        <w:keepNext/>
      </w:pPr>
      <w:r>
        <w:t>2.3 Phase3 기준점</w:t>
      </w:r>
    </w:p>
    <w:p>
      <w:r>
        <w:rPr>
          <w:rFonts w:ascii="Calibri" w:hAnsi="Calibri" w:eastAsia="Malgun Gothic"/>
          <w:color w:val="202124"/>
          <w:sz w:val="22"/>
        </w:rPr>
        <w:t xml:space="preserve">Phase3는 새로운 시스템을 별도로 만드는 작업이 아니다. 기존 </w:t>
      </w:r>
      <w:r>
        <w:rPr>
          <w:rFonts w:ascii="Consolas" w:hAnsi="Consolas" w:eastAsia="Malgun Gothic"/>
          <w:color w:val="1F4D78"/>
          <w:sz w:val="19"/>
        </w:rPr>
        <w:t>display_bom.db</w:t>
      </w:r>
      <w:r>
        <w:rPr>
          <w:rFonts w:ascii="Calibri" w:hAnsi="Calibri" w:eastAsia="Malgun Gothic"/>
          <w:color w:val="202124"/>
          <w:sz w:val="22"/>
        </w:rPr>
        <w:t>, Repository, Service, MCP, Single Agent와 Streamlit 구조를 연속적으로 확장한다. Phase별 임시 테이블이나 별도 데이터 저장소를 만들지 않는다.</w:t>
      </w:r>
    </w:p>
    <w:p>
      <w:pPr>
        <w:pStyle w:val="Heading1"/>
        <w:keepNext/>
      </w:pPr>
      <w:r>
        <w:t>3. Phase3 목표와 성공 정의</w:t>
      </w:r>
    </w:p>
    <w:p>
      <w:pPr>
        <w:pStyle w:val="Heading2"/>
        <w:keepNext/>
      </w:pPr>
      <w:r>
        <w:t>3.1 최우선 목표</w:t>
      </w:r>
    </w:p>
    <w:p>
      <w:pPr>
        <w:pStyle w:val="ListNumber"/>
      </w:pPr>
      <w:r>
        <w:rPr>
          <w:rFonts w:ascii="Calibri" w:hAnsi="Calibri" w:eastAsia="Malgun Gothic"/>
          <w:color w:val="202124"/>
          <w:sz w:val="22"/>
        </w:rPr>
        <w:t>자연어 설계변경 요청에서 대체 MATERIAL·ASSY 전체 후보와 순위를 제시한다.</w:t>
      </w:r>
    </w:p>
    <w:p>
      <w:pPr>
        <w:pStyle w:val="ListNumber"/>
      </w:pPr>
      <w:r>
        <w:rPr>
          <w:rFonts w:ascii="Calibri" w:hAnsi="Calibri" w:eastAsia="Malgun Gothic"/>
          <w:color w:val="202124"/>
          <w:sz w:val="22"/>
        </w:rPr>
        <w:t>원가, 납기, 재고, 품질, 공급사와 공용 ASSY 영향을 함께 분석한다.</w:t>
      </w:r>
    </w:p>
    <w:p>
      <w:pPr>
        <w:pStyle w:val="ListNumber"/>
      </w:pPr>
      <w:r>
        <w:rPr>
          <w:rFonts w:ascii="Calibri" w:hAnsi="Calibri" w:eastAsia="Malgun Gothic"/>
          <w:color w:val="202124"/>
          <w:sz w:val="22"/>
        </w:rPr>
        <w:t>후보 선택과 최종 Apply의 두 번 승인을 거쳐 Production E-BOM까지 처리한다.</w:t>
      </w:r>
    </w:p>
    <w:p>
      <w:pPr>
        <w:pStyle w:val="ListNumber"/>
      </w:pPr>
      <w:r>
        <w:rPr>
          <w:rFonts w:ascii="Calibri" w:hAnsi="Calibri" w:eastAsia="Malgun Gothic"/>
          <w:color w:val="202124"/>
          <w:sz w:val="22"/>
        </w:rPr>
        <w:t>Phase3 이후 LLM 추론학습에 사용할 고품질 설계변경 이력을 축적한다.</w:t>
      </w:r>
    </w:p>
    <w:p>
      <w:pPr>
        <w:pStyle w:val="Heading2"/>
        <w:keepNext/>
      </w:pPr>
      <w:r>
        <w:t>3.2 대표 사용자 경험</w:t>
      </w:r>
    </w:p>
    <w:p>
      <w:r>
        <w:rPr>
          <w:rFonts w:ascii="Calibri" w:hAnsi="Calibri" w:eastAsia="Malgun Gothic"/>
          <w:color w:val="202124"/>
          <w:sz w:val="22"/>
        </w:rPr>
        <w:t>요청 예시:</w:t>
      </w:r>
    </w:p>
    <w:p>
      <w:r>
        <w:rPr>
          <w:rFonts w:ascii="Calibri" w:hAnsi="Calibri" w:eastAsia="Malgun Gothic"/>
          <w:color w:val="202124"/>
          <w:sz w:val="22"/>
        </w:rPr>
        <w:t>“A모델의 C자재가 단종되어 변경해야 한다. 변경 가능한 자재를 찾아달라.”</w:t>
      </w:r>
    </w:p>
    <w:p>
      <w:r>
        <w:rPr>
          <w:rFonts w:ascii="Calibri" w:hAnsi="Calibri" w:eastAsia="Malgun Gothic"/>
          <w:color w:val="202124"/>
          <w:sz w:val="22"/>
        </w:rPr>
        <w:t>처리 흐름:</w:t>
      </w:r>
    </w:p>
    <w:p>
      <w:pPr>
        <w:pStyle w:val="ListNumber"/>
      </w:pPr>
      <w:r>
        <w:rPr>
          <w:rFonts w:ascii="Calibri" w:hAnsi="Calibri" w:eastAsia="Malgun Gothic"/>
          <w:color w:val="202124"/>
          <w:sz w:val="22"/>
        </w:rPr>
        <w:t>제품, 현재 BOM과 변경 대상 자재를 식별한다.</w:t>
      </w:r>
    </w:p>
    <w:p>
      <w:pPr>
        <w:pStyle w:val="ListNumber"/>
      </w:pPr>
      <w:r>
        <w:rPr>
          <w:rFonts w:ascii="Calibri" w:hAnsi="Calibri" w:eastAsia="Malgun Gothic"/>
          <w:color w:val="202124"/>
          <w:sz w:val="22"/>
        </w:rPr>
        <w:t>변경 사유와 필요한 Action을 분류한다.</w:t>
      </w:r>
    </w:p>
    <w:p>
      <w:pPr>
        <w:pStyle w:val="ListNumber"/>
      </w:pPr>
      <w:r>
        <w:rPr>
          <w:rFonts w:ascii="Calibri" w:hAnsi="Calibri" w:eastAsia="Malgun Gothic"/>
          <w:color w:val="202124"/>
          <w:sz w:val="22"/>
        </w:rPr>
        <w:t>모든 적합 후보와 조건부 후보를 탐색한다.</w:t>
      </w:r>
    </w:p>
    <w:p>
      <w:pPr>
        <w:pStyle w:val="ListNumber"/>
      </w:pPr>
      <w:r>
        <w:rPr>
          <w:rFonts w:ascii="Calibri" w:hAnsi="Calibri" w:eastAsia="Malgun Gothic"/>
          <w:color w:val="202124"/>
          <w:sz w:val="22"/>
        </w:rPr>
        <w:t>후보별 총점, 등급, 상태, Rule 근거와 누락 데이터를 제시한다.</w:t>
      </w:r>
    </w:p>
    <w:p>
      <w:pPr>
        <w:pStyle w:val="ListNumber"/>
      </w:pPr>
      <w:r>
        <w:rPr>
          <w:rFonts w:ascii="Calibri" w:hAnsi="Calibri" w:eastAsia="Malgun Gothic"/>
          <w:color w:val="202124"/>
          <w:sz w:val="22"/>
        </w:rPr>
        <w:t>사용자가 자재와 주 공급사를 함께 선택하고 1차 승인한다.</w:t>
      </w:r>
    </w:p>
    <w:p>
      <w:pPr>
        <w:pStyle w:val="ListNumber"/>
      </w:pPr>
      <w:r>
        <w:rPr>
          <w:rFonts w:ascii="Calibri" w:hAnsi="Calibri" w:eastAsia="Malgun Gothic"/>
          <w:color w:val="202124"/>
          <w:sz w:val="22"/>
        </w:rPr>
        <w:t>영향 모델, 공용 ASSY, 원가, 재고, 납기 및 BOM Preview를 통합 검증한다.</w:t>
      </w:r>
    </w:p>
    <w:p>
      <w:pPr>
        <w:pStyle w:val="ListNumber"/>
      </w:pPr>
      <w:r>
        <w:rPr>
          <w:rFonts w:ascii="Calibri" w:hAnsi="Calibri" w:eastAsia="Malgun Gothic"/>
          <w:color w:val="202124"/>
          <w:sz w:val="22"/>
        </w:rPr>
        <w:t>사용자가 최종 Apply를 2차 승인한다.</w:t>
      </w:r>
    </w:p>
    <w:p>
      <w:pPr>
        <w:pStyle w:val="ListNumber"/>
      </w:pPr>
      <w:r>
        <w:rPr>
          <w:rFonts w:ascii="Calibri" w:hAnsi="Calibri" w:eastAsia="Malgun Gothic"/>
          <w:color w:val="202124"/>
          <w:sz w:val="22"/>
        </w:rPr>
        <w:t>전체 변경을 하나의 Transaction으로 반영하거나 실패 시 Rollback한다.</w:t>
      </w:r>
    </w:p>
    <w:p>
      <w:pPr>
        <w:pStyle w:val="ListNumber"/>
      </w:pPr>
      <w:r>
        <w:rPr>
          <w:rFonts w:ascii="Calibri" w:hAnsi="Calibri" w:eastAsia="Malgun Gothic"/>
          <w:color w:val="202124"/>
          <w:sz w:val="22"/>
        </w:rPr>
        <w:t>전체 과정과 적용 후 성과를 학습 이력으로 저장한다.</w:t>
      </w:r>
    </w:p>
    <w:p>
      <w:pPr>
        <w:pStyle w:val="Heading1"/>
        <w:keepNext/>
      </w:pPr>
      <w:r>
        <w:t>4. 목표 Architecture</w:t>
      </w:r>
    </w:p>
    <w:p>
      <w:pPr>
        <w:pStyle w:val="CodeBlock"/>
        <w:keepLines/>
      </w:pPr>
      <w:r>
        <w:rPr>
          <w:rFonts w:ascii="Consolas" w:hAnsi="Consolas" w:eastAsia="Malgun Gothic"/>
          <w:color w:val="0B2545"/>
          <w:sz w:val="18"/>
        </w:rPr>
        <w:t>Streamlit</w:t>
        <w:br/>
        <w:t xml:space="preserve">  ├─ Agent 채팅 (주 실행 화면)</w:t>
        <w:br/>
        <w:t xml:space="preserve">  ├─ Rule 관리</w:t>
        <w:br/>
        <w:t xml:space="preserve">  ├─ 변경·승인·Apply 이력</w:t>
        <w:br/>
        <w:t xml:space="preserve">  └─ 적용 후 성과평가</w:t>
        <w:br/>
        <w:t xml:space="preserve">       ↓</w:t>
        <w:br/>
        <w:t>Single LangGraph Agent</w:t>
        <w:br/>
        <w:t xml:space="preserve">  ├─ 자연어 의도·엔터티·변경 사유 식별</w:t>
        <w:br/>
        <w:t xml:space="preserve">  ├─ 복수 Action 계획과 Workflow State</w:t>
        <w:br/>
        <w:t xml:space="preserve">  ├─ 두 번의 Human Approval</w:t>
        <w:br/>
        <w:t xml:space="preserve">  └─ 결과·근거 설명</w:t>
        <w:br/>
        <w:t xml:space="preserve">       ↓</w:t>
        <w:br/>
        <w:t>MCP Client</w:t>
        <w:br/>
        <w:t xml:space="preserve">       ↓</w:t>
        <w:br/>
        <w:t>Display BOM MCP Server</w:t>
        <w:br/>
        <w:t xml:space="preserve">       ↓</w:t>
        <w:br/>
        <w:t>Domain Services / Rule &amp; Recommendation Engine</w:t>
        <w:br/>
        <w:t xml:space="preserve">  ├─ 후보 탐색과 점수·등급</w:t>
        <w:br/>
        <w:t xml:space="preserve">  ├─ 공급사·원가·납기·재고·품질 평가</w:t>
        <w:br/>
        <w:t xml:space="preserve">  ├─ 공용 ASSY 영향 분석</w:t>
        <w:br/>
        <w:t xml:space="preserve">  ├─ 복수 Action 통합 검증</w:t>
        <w:br/>
        <w:t xml:space="preserve">  └─ Atomic Apply / Rollback</w:t>
        <w:br/>
        <w:t xml:space="preserve">       ↓</w:t>
        <w:br/>
        <w:t>SQLite Repositories / Unit of Work</w:t>
        <w:br/>
        <w:t xml:space="preserve">       ↓</w:t>
        <w:br/>
        <w:t>display_bom.db</w:t>
      </w:r>
    </w:p>
    <w:p>
      <w:r>
        <w:rPr>
          <w:rFonts w:ascii="Calibri" w:hAnsi="Calibri" w:eastAsia="Malgun Gothic"/>
          <w:color w:val="202124"/>
          <w:sz w:val="22"/>
        </w:rPr>
        <w:t>Phase3에서도 Single Agent 구조를 유지한다. LLM, MCP, Service, Repository의 책임을 섞지 않는다.</w:t>
      </w:r>
    </w:p>
    <w:p>
      <w:pPr>
        <w:pStyle w:val="Heading1"/>
        <w:keepNext/>
      </w:pPr>
      <w:r>
        <w:t>5. 역할과 안전 경계</w:t>
      </w:r>
    </w:p>
    <w:p>
      <w:pPr>
        <w:pStyle w:val="Heading2"/>
        <w:keepNext/>
      </w:pPr>
      <w:r>
        <w:t>5.1 Phase3 LLM</w:t>
      </w:r>
    </w:p>
    <w:p>
      <w:pPr>
        <w:pStyle w:val="ListBullet"/>
      </w:pPr>
      <w:r>
        <w:rPr>
          <w:rFonts w:ascii="Calibri" w:hAnsi="Calibri" w:eastAsia="Malgun Gothic"/>
          <w:color w:val="202124"/>
          <w:sz w:val="22"/>
        </w:rPr>
        <w:t>자연어 요청 해석</w:t>
      </w:r>
    </w:p>
    <w:p>
      <w:pPr>
        <w:pStyle w:val="ListBullet"/>
      </w:pPr>
      <w:r>
        <w:rPr>
          <w:rFonts w:ascii="Calibri" w:hAnsi="Calibri" w:eastAsia="Malgun Gothic"/>
          <w:color w:val="202124"/>
          <w:sz w:val="22"/>
        </w:rPr>
        <w:t>제품·자재·ASSY 및 복수 Action 식별</w:t>
      </w:r>
    </w:p>
    <w:p>
      <w:pPr>
        <w:pStyle w:val="ListBullet"/>
      </w:pPr>
      <w:r>
        <w:rPr>
          <w:rFonts w:ascii="Calibri" w:hAnsi="Calibri" w:eastAsia="Malgun Gothic"/>
          <w:color w:val="202124"/>
          <w:sz w:val="22"/>
        </w:rPr>
        <w:t>하나 이상의 설계변경 사유 분류</w:t>
      </w:r>
    </w:p>
    <w:p>
      <w:pPr>
        <w:pStyle w:val="ListBullet"/>
      </w:pPr>
      <w:r>
        <w:rPr>
          <w:rFonts w:ascii="Calibri" w:hAnsi="Calibri" w:eastAsia="Malgun Gothic"/>
          <w:color w:val="202124"/>
          <w:sz w:val="22"/>
        </w:rPr>
        <w:t>실행계획과 Tool 선택</w:t>
      </w:r>
    </w:p>
    <w:p>
      <w:pPr>
        <w:pStyle w:val="ListBullet"/>
      </w:pPr>
      <w:r>
        <w:rPr>
          <w:rFonts w:ascii="Calibri" w:hAnsi="Calibri" w:eastAsia="Malgun Gothic"/>
          <w:color w:val="202124"/>
          <w:sz w:val="22"/>
        </w:rPr>
        <w:t>Rule이 없는 경우 평가할 속성 차원 선택</w:t>
      </w:r>
    </w:p>
    <w:p>
      <w:pPr>
        <w:pStyle w:val="ListBullet"/>
      </w:pPr>
      <w:r>
        <w:rPr>
          <w:rFonts w:ascii="Calibri" w:hAnsi="Calibri" w:eastAsia="Malgun Gothic"/>
          <w:color w:val="202124"/>
          <w:sz w:val="22"/>
        </w:rPr>
        <w:t>결과와 근거 설명</w:t>
      </w:r>
    </w:p>
    <w:p>
      <w:pPr>
        <w:pStyle w:val="Heading2"/>
        <w:keepNext/>
      </w:pPr>
      <w:r>
        <w:t>5.2 Service·Rule Engine</w:t>
      </w:r>
    </w:p>
    <w:p>
      <w:pPr>
        <w:pStyle w:val="ListBullet"/>
      </w:pPr>
      <w:r>
        <w:rPr>
          <w:rFonts w:ascii="Calibri" w:hAnsi="Calibri" w:eastAsia="Malgun Gothic"/>
          <w:color w:val="202124"/>
          <w:sz w:val="22"/>
        </w:rPr>
        <w:t>후보 탐색</w:t>
      </w:r>
    </w:p>
    <w:p>
      <w:pPr>
        <w:pStyle w:val="ListBullet"/>
      </w:pPr>
      <w:r>
        <w:rPr>
          <w:rFonts w:ascii="Calibri" w:hAnsi="Calibri" w:eastAsia="Malgun Gothic"/>
          <w:color w:val="202124"/>
          <w:sz w:val="22"/>
        </w:rPr>
        <w:t>필수조건 검증</w:t>
      </w:r>
    </w:p>
    <w:p>
      <w:pPr>
        <w:pStyle w:val="ListBullet"/>
      </w:pPr>
      <w:r>
        <w:rPr>
          <w:rFonts w:ascii="Calibri" w:hAnsi="Calibri" w:eastAsia="Malgun Gothic"/>
          <w:color w:val="202124"/>
          <w:sz w:val="22"/>
        </w:rPr>
        <w:t>점수와 등급 계산</w:t>
      </w:r>
    </w:p>
    <w:p>
      <w:pPr>
        <w:pStyle w:val="ListBullet"/>
      </w:pPr>
      <w:r>
        <w:rPr>
          <w:rFonts w:ascii="Consolas" w:hAnsi="Consolas" w:eastAsia="Malgun Gothic"/>
          <w:color w:val="1F4D78"/>
          <w:sz w:val="19"/>
        </w:rPr>
        <w:t>PASS / CONDITIONAL / FAIL</w:t>
      </w:r>
      <w:r>
        <w:rPr>
          <w:rFonts w:ascii="Calibri" w:hAnsi="Calibri" w:eastAsia="Malgun Gothic"/>
          <w:color w:val="202124"/>
          <w:sz w:val="22"/>
        </w:rPr>
        <w:t xml:space="preserve"> 판정</w:t>
      </w:r>
    </w:p>
    <w:p>
      <w:pPr>
        <w:pStyle w:val="ListBullet"/>
      </w:pPr>
      <w:r>
        <w:rPr>
          <w:rFonts w:ascii="Calibri" w:hAnsi="Calibri" w:eastAsia="Malgun Gothic"/>
          <w:color w:val="202124"/>
          <w:sz w:val="22"/>
        </w:rPr>
        <w:t>공급사·원가·납기·재고·품질 계산</w:t>
      </w:r>
    </w:p>
    <w:p>
      <w:pPr>
        <w:pStyle w:val="ListBullet"/>
      </w:pPr>
      <w:r>
        <w:rPr>
          <w:rFonts w:ascii="Calibri" w:hAnsi="Calibri" w:eastAsia="Malgun Gothic"/>
          <w:color w:val="202124"/>
          <w:sz w:val="22"/>
        </w:rPr>
        <w:t>공용 ASSY 재귀 영향 분석</w:t>
      </w:r>
    </w:p>
    <w:p>
      <w:pPr>
        <w:pStyle w:val="ListBullet"/>
      </w:pPr>
      <w:r>
        <w:rPr>
          <w:rFonts w:ascii="Calibri" w:hAnsi="Calibri" w:eastAsia="Malgun Gothic"/>
          <w:color w:val="202124"/>
          <w:sz w:val="22"/>
        </w:rPr>
        <w:t>상태 전이와 Transaction 경계</w:t>
      </w:r>
    </w:p>
    <w:p>
      <w:pPr>
        <w:pStyle w:val="Heading2"/>
        <w:keepNext/>
      </w:pPr>
      <w:r>
        <w:t>5.3 시스템이 항상 강제할 안전장치</w:t>
      </w:r>
    </w:p>
    <w:p>
      <w:pPr>
        <w:pStyle w:val="ListBullet"/>
      </w:pPr>
      <w:r>
        <w:rPr>
          <w:rFonts w:ascii="Calibri" w:hAnsi="Calibri" w:eastAsia="Malgun Gothic"/>
          <w:color w:val="202124"/>
          <w:sz w:val="22"/>
        </w:rPr>
        <w:t>BOM 참조 무결성 및 순환구조 방지</w:t>
      </w:r>
    </w:p>
    <w:p>
      <w:pPr>
        <w:pStyle w:val="ListBullet"/>
      </w:pPr>
      <w:r>
        <w:rPr>
          <w:rFonts w:ascii="Calibri" w:hAnsi="Calibri" w:eastAsia="Malgun Gothic"/>
          <w:color w:val="202124"/>
          <w:sz w:val="22"/>
        </w:rPr>
        <w:t>승인 전 Production Apply 금지</w:t>
      </w:r>
    </w:p>
    <w:p>
      <w:pPr>
        <w:pStyle w:val="ListBullet"/>
      </w:pPr>
      <w:r>
        <w:rPr>
          <w:rFonts w:ascii="Calibri" w:hAnsi="Calibri" w:eastAsia="Malgun Gothic"/>
          <w:color w:val="202124"/>
          <w:sz w:val="22"/>
        </w:rPr>
        <w:t>복수 변경 Atomic Transaction</w:t>
      </w:r>
    </w:p>
    <w:p>
      <w:pPr>
        <w:pStyle w:val="ListBullet"/>
      </w:pPr>
      <w:r>
        <w:rPr>
          <w:rFonts w:ascii="Calibri" w:hAnsi="Calibri" w:eastAsia="Malgun Gothic"/>
          <w:color w:val="202124"/>
          <w:sz w:val="22"/>
        </w:rPr>
        <w:t>Apply 실패 시 전체 Rollback</w:t>
      </w:r>
    </w:p>
    <w:p>
      <w:pPr>
        <w:pStyle w:val="ListBullet"/>
      </w:pPr>
      <w:r>
        <w:rPr>
          <w:rFonts w:ascii="Calibri" w:hAnsi="Calibri" w:eastAsia="Malgun Gothic"/>
          <w:color w:val="202124"/>
          <w:sz w:val="22"/>
        </w:rPr>
        <w:t>변경·승인·적용 감사이력 보존</w:t>
      </w:r>
    </w:p>
    <w:p>
      <w:pPr>
        <w:pStyle w:val="ListBullet"/>
      </w:pPr>
      <w:r>
        <w:rPr>
          <w:rFonts w:ascii="Consolas" w:hAnsi="Consolas" w:eastAsia="Malgun Gothic"/>
          <w:color w:val="1F4D78"/>
          <w:sz w:val="19"/>
        </w:rPr>
        <w:t>FAIL</w:t>
      </w:r>
      <w:r>
        <w:rPr>
          <w:rFonts w:ascii="Calibri" w:hAnsi="Calibri" w:eastAsia="Malgun Gothic"/>
          <w:color w:val="202124"/>
          <w:sz w:val="22"/>
        </w:rPr>
        <w:t xml:space="preserve"> 후보 Apply 금지</w:t>
      </w:r>
    </w:p>
    <w:p>
      <w:r>
        <w:rPr>
          <w:rFonts w:ascii="Calibri" w:hAnsi="Calibri" w:eastAsia="Malgun Gothic"/>
          <w:color w:val="202124"/>
          <w:sz w:val="22"/>
        </w:rPr>
        <w:t>장기적으로 LLM이 업무 추론과 판정을 수행하더라도 이 안전장치는 제거하지 않는다.</w:t>
      </w:r>
    </w:p>
    <w:p>
      <w:pPr>
        <w:pStyle w:val="Heading1"/>
        <w:keepNext/>
      </w:pPr>
      <w:r>
        <w:t>6. 지원 Action과 복수 변경</w:t>
      </w:r>
    </w:p>
    <w:p>
      <w:r>
        <w:rPr>
          <w:rFonts w:ascii="Calibri" w:hAnsi="Calibri" w:eastAsia="Malgun Gothic"/>
          <w:color w:val="202124"/>
          <w:sz w:val="22"/>
        </w:rPr>
        <w:t>Phase3는 MATERIAL과 ASSEMBLY를 대상으로 다음 Action을 지원한다.</w:t>
      </w:r>
    </w:p>
    <w:p>
      <w:pPr>
        <w:pStyle w:val="ListBullet"/>
      </w:pPr>
      <w:r>
        <w:rPr>
          <w:rFonts w:ascii="Consolas" w:hAnsi="Consolas" w:eastAsia="Malgun Gothic"/>
          <w:color w:val="1F4D78"/>
          <w:sz w:val="19"/>
        </w:rPr>
        <w:t>REPLACE</w:t>
      </w:r>
    </w:p>
    <w:p>
      <w:pPr>
        <w:pStyle w:val="ListBullet"/>
      </w:pPr>
      <w:r>
        <w:rPr>
          <w:rFonts w:ascii="Consolas" w:hAnsi="Consolas" w:eastAsia="Malgun Gothic"/>
          <w:color w:val="1F4D78"/>
          <w:sz w:val="19"/>
        </w:rPr>
        <w:t>ADD</w:t>
      </w:r>
    </w:p>
    <w:p>
      <w:pPr>
        <w:pStyle w:val="ListBullet"/>
      </w:pPr>
      <w:r>
        <w:rPr>
          <w:rFonts w:ascii="Consolas" w:hAnsi="Consolas" w:eastAsia="Malgun Gothic"/>
          <w:color w:val="1F4D78"/>
          <w:sz w:val="19"/>
        </w:rPr>
        <w:t>DELETE</w:t>
      </w:r>
    </w:p>
    <w:p>
      <w:pPr>
        <w:pStyle w:val="ListBullet"/>
      </w:pPr>
      <w:r>
        <w:rPr>
          <w:rFonts w:ascii="Consolas" w:hAnsi="Consolas" w:eastAsia="Malgun Gothic"/>
          <w:color w:val="1F4D78"/>
          <w:sz w:val="19"/>
        </w:rPr>
        <w:t>QUANTITY_CHANGE</w:t>
      </w:r>
    </w:p>
    <w:p>
      <w:pPr>
        <w:pStyle w:val="ListBullet"/>
      </w:pPr>
      <w:r>
        <w:rPr>
          <w:rFonts w:ascii="Calibri" w:hAnsi="Calibri" w:eastAsia="Malgun Gothic"/>
          <w:color w:val="202124"/>
          <w:sz w:val="22"/>
        </w:rPr>
        <w:t xml:space="preserve">공용 ASSY의 </w:t>
      </w:r>
      <w:r>
        <w:rPr>
          <w:rFonts w:ascii="Consolas" w:hAnsi="Consolas" w:eastAsia="Malgun Gothic"/>
          <w:color w:val="1F4D78"/>
          <w:sz w:val="19"/>
        </w:rPr>
        <w:t>QUANTITY_CHANGE</w:t>
      </w:r>
    </w:p>
    <w:p>
      <w:pPr>
        <w:pStyle w:val="ListBullet"/>
      </w:pPr>
      <w:r>
        <w:rPr>
          <w:rFonts w:ascii="Calibri" w:hAnsi="Calibri" w:eastAsia="Malgun Gothic"/>
          <w:color w:val="202124"/>
          <w:sz w:val="22"/>
        </w:rPr>
        <w:t xml:space="preserve">공용 ASSY의 </w:t>
      </w:r>
      <w:r>
        <w:rPr>
          <w:rFonts w:ascii="Consolas" w:hAnsi="Consolas" w:eastAsia="Malgun Gothic"/>
          <w:color w:val="1F4D78"/>
          <w:sz w:val="19"/>
        </w:rPr>
        <w:t>ASSY REPLACE</w:t>
      </w:r>
    </w:p>
    <w:p>
      <w:r>
        <w:rPr>
          <w:rFonts w:ascii="Calibri" w:hAnsi="Calibri" w:eastAsia="Malgun Gothic"/>
          <w:color w:val="202124"/>
          <w:sz w:val="22"/>
        </w:rPr>
        <w:t>한 모델에서 여러 변경점이 발생하면 요청자는 한 번에 여러 Action을 요청할 수 있다. Agent는 이를 개별 변경 항목으로 분석하면서도 하나의 변경 요청과 Preview로 통합한다.</w:t>
      </w:r>
    </w:p>
    <w:p>
      <w:r>
        <w:rPr>
          <w:rFonts w:ascii="Calibri" w:hAnsi="Calibri" w:eastAsia="Malgun Gothic"/>
          <w:color w:val="202124"/>
          <w:sz w:val="22"/>
        </w:rPr>
        <w:t xml:space="preserve">복수 변경 중 하나라도 </w:t>
      </w:r>
      <w:r>
        <w:rPr>
          <w:rFonts w:ascii="Consolas" w:hAnsi="Consolas" w:eastAsia="Malgun Gothic"/>
          <w:color w:val="1F4D78"/>
          <w:sz w:val="19"/>
        </w:rPr>
        <w:t>FAIL</w:t>
      </w:r>
      <w:r>
        <w:rPr>
          <w:rFonts w:ascii="Calibri" w:hAnsi="Calibri" w:eastAsia="Malgun Gothic"/>
          <w:color w:val="202124"/>
          <w:sz w:val="22"/>
        </w:rPr>
        <w:t>이면 전체 Apply를 취소한다. 후보 선택과 분석 결과는 Action별로 보여주되, 1차 후보 선택 승인은 전체 변경안 단위로 한 번 수행한다. 최종 Apply도 통합 Preview에 대해 한 번 승인한다.</w:t>
      </w:r>
    </w:p>
    <w:p>
      <w:pPr>
        <w:pStyle w:val="Heading1"/>
        <w:keepNext/>
      </w:pPr>
      <w:r>
        <w:t>7. 추천과 판정 모델</w:t>
      </w:r>
    </w:p>
    <w:p>
      <w:pPr>
        <w:pStyle w:val="Heading2"/>
        <w:keepNext/>
      </w:pPr>
      <w:r>
        <w:t>7.1 후보 탐색</w:t>
      </w:r>
    </w:p>
    <w:p>
      <w:pPr>
        <w:pStyle w:val="ListNumber"/>
      </w:pPr>
      <w:r>
        <w:rPr>
          <w:rFonts w:ascii="Calibri" w:hAnsi="Calibri" w:eastAsia="Malgun Gothic"/>
          <w:color w:val="202124"/>
          <w:sz w:val="22"/>
        </w:rPr>
        <w:t>등록된 대체관계 후보</w:t>
      </w:r>
    </w:p>
    <w:p>
      <w:pPr>
        <w:pStyle w:val="ListNumber"/>
      </w:pPr>
      <w:r>
        <w:rPr>
          <w:rFonts w:ascii="Calibri" w:hAnsi="Calibri" w:eastAsia="Malgun Gothic"/>
          <w:color w:val="202124"/>
          <w:sz w:val="22"/>
        </w:rPr>
        <w:t>동일 자재분류와 핵심 속성 일치 후보</w:t>
      </w:r>
    </w:p>
    <w:p>
      <w:pPr>
        <w:pStyle w:val="ListNumber"/>
      </w:pPr>
      <w:r>
        <w:rPr>
          <w:rFonts w:ascii="Calibri" w:hAnsi="Calibri" w:eastAsia="Malgun Gothic"/>
          <w:color w:val="202124"/>
          <w:sz w:val="22"/>
        </w:rPr>
        <w:t>전체 자재 중 속성 유사 후보</w:t>
      </w:r>
    </w:p>
    <w:p>
      <w:r>
        <w:rPr>
          <w:rFonts w:ascii="Calibri" w:hAnsi="Calibri" w:eastAsia="Malgun Gothic"/>
          <w:color w:val="202124"/>
          <w:sz w:val="22"/>
        </w:rPr>
        <w:t>REPLACE와 ADD 사례에는 5개 이상의 다양한 후보를 구성한다. 동일 자재에 여러 공급사가 있으면 자재를 주 순위 단위로 표시하고, 자재 아래에 주 공급사와 대체 공급사의 세부 평가를 제공한다. 내부 계산 단위는 자재·공급사 조합이다.</w:t>
      </w:r>
    </w:p>
    <w:p>
      <w:pPr>
        <w:pStyle w:val="Heading2"/>
        <w:keepNext/>
      </w:pPr>
      <w:r>
        <w:t>7.2 상태와 점수의 분리</w:t>
      </w:r>
    </w:p>
    <w:p>
      <w:pPr>
        <w:pStyle w:val="ListBullet"/>
      </w:pPr>
      <w:r>
        <w:rPr>
          <w:rFonts w:ascii="Calibri" w:hAnsi="Calibri" w:eastAsia="Malgun Gothic"/>
          <w:color w:val="202124"/>
          <w:sz w:val="22"/>
        </w:rPr>
        <w:t xml:space="preserve">상태: 필수조건과 데이터 충족 여부를 나타내는 </w:t>
      </w:r>
      <w:r>
        <w:rPr>
          <w:rFonts w:ascii="Consolas" w:hAnsi="Consolas" w:eastAsia="Malgun Gothic"/>
          <w:color w:val="1F4D78"/>
          <w:sz w:val="19"/>
        </w:rPr>
        <w:t>PASS / CONDITIONAL / FAIL</w:t>
      </w:r>
    </w:p>
    <w:p>
      <w:pPr>
        <w:pStyle w:val="ListBullet"/>
      </w:pPr>
      <w:r>
        <w:rPr>
          <w:rFonts w:ascii="Calibri" w:hAnsi="Calibri" w:eastAsia="Malgun Gothic"/>
          <w:color w:val="202124"/>
          <w:sz w:val="22"/>
        </w:rPr>
        <w:t>점수: 통과 가능 후보의 상대적 적합도를 나타내는 0~100점</w:t>
      </w:r>
    </w:p>
    <w:p>
      <w:pPr>
        <w:pStyle w:val="ListBullet"/>
      </w:pPr>
      <w:r>
        <w:rPr>
          <w:rFonts w:ascii="Calibri" w:hAnsi="Calibri" w:eastAsia="Malgun Gothic"/>
          <w:color w:val="202124"/>
          <w:sz w:val="22"/>
        </w:rPr>
        <w:t>등급: S 90점 이상, A 80점 이상, B 70점 이상, C 70점 미만</w:t>
      </w:r>
    </w:p>
    <w:p>
      <w:r>
        <w:rPr>
          <w:rFonts w:ascii="Calibri" w:hAnsi="Calibri" w:eastAsia="Malgun Gothic"/>
          <w:color w:val="202124"/>
          <w:sz w:val="22"/>
        </w:rPr>
        <w:t>정렬은 모든 PASS 후보를 점수순으로 먼저 표시한 후 CONDITIONAL 후보를 점수순으로 표시한다. FAIL은 순위에서 제외하지만 실패 Rule과 제외 사유는 숨기지 않는다.</w:t>
      </w:r>
    </w:p>
    <w:p>
      <w:pPr>
        <w:pStyle w:val="Heading2"/>
        <w:keepNext/>
      </w:pPr>
      <w:r>
        <w:t>7.3 복수 사유와 Rule 충돌</w:t>
      </w:r>
    </w:p>
    <w:p>
      <w:r>
        <w:rPr>
          <w:rFonts w:ascii="Calibri" w:hAnsi="Calibri" w:eastAsia="Malgun Gothic"/>
          <w:color w:val="202124"/>
          <w:sz w:val="22"/>
        </w:rPr>
        <w:t>설계변경 사유가 여러 개면 관련 Rule을 모두 적용한다.</w:t>
      </w:r>
    </w:p>
    <w:p>
      <w:r>
        <w:rPr>
          <w:rFonts w:ascii="Calibri" w:hAnsi="Calibri" w:eastAsia="Malgun Gothic"/>
          <w:color w:val="202124"/>
          <w:sz w:val="22"/>
        </w:rPr>
        <w:t>우선순위:</w:t>
      </w:r>
    </w:p>
    <w:p>
      <w:pPr>
        <w:pStyle w:val="ListNumber"/>
      </w:pPr>
      <w:r>
        <w:rPr>
          <w:rFonts w:ascii="Calibri" w:hAnsi="Calibri" w:eastAsia="Malgun Gothic"/>
          <w:color w:val="202124"/>
          <w:sz w:val="22"/>
        </w:rPr>
        <w:t>안전 필수조건</w:t>
      </w:r>
    </w:p>
    <w:p>
      <w:pPr>
        <w:pStyle w:val="ListNumber"/>
      </w:pPr>
      <w:r>
        <w:rPr>
          <w:rFonts w:ascii="Calibri" w:hAnsi="Calibri" w:eastAsia="Malgun Gothic"/>
          <w:color w:val="202124"/>
          <w:sz w:val="22"/>
        </w:rPr>
        <w:t>변경 사유별 Rule</w:t>
      </w:r>
    </w:p>
    <w:p>
      <w:pPr>
        <w:pStyle w:val="ListNumber"/>
      </w:pPr>
      <w:r>
        <w:rPr>
          <w:rFonts w:ascii="Calibri" w:hAnsi="Calibri" w:eastAsia="Malgun Gothic"/>
          <w:color w:val="202124"/>
          <w:sz w:val="22"/>
        </w:rPr>
        <w:t>공통 Rule</w:t>
      </w:r>
    </w:p>
    <w:p>
      <w:pPr>
        <w:pStyle w:val="ListNumber"/>
      </w:pPr>
      <w:r>
        <w:rPr>
          <w:rFonts w:ascii="Calibri" w:hAnsi="Calibri" w:eastAsia="Malgun Gothic"/>
          <w:color w:val="202124"/>
          <w:sz w:val="22"/>
        </w:rPr>
        <w:t>최신 유효 Revision</w:t>
      </w:r>
    </w:p>
    <w:p>
      <w:r>
        <w:rPr>
          <w:rFonts w:ascii="Calibri" w:hAnsi="Calibri" w:eastAsia="Malgun Gothic"/>
          <w:color w:val="202124"/>
          <w:sz w:val="22"/>
        </w:rPr>
        <w:t>필수조건 하나라도 실패하면 최종 상태는 FAIL이다. 차단 조건은 아니지만 데이터나 확인이 부족하면 CONDITIONAL이다.</w:t>
      </w:r>
    </w:p>
    <w:p>
      <w:pPr>
        <w:pStyle w:val="Heading2"/>
        <w:keepNext/>
      </w:pPr>
      <w:r>
        <w:t>7.4 Rule이 없는 경우</w:t>
      </w:r>
    </w:p>
    <w:p>
      <w:r>
        <w:rPr>
          <w:rFonts w:ascii="Calibri" w:hAnsi="Calibri" w:eastAsia="Malgun Gothic"/>
          <w:color w:val="202124"/>
          <w:sz w:val="22"/>
        </w:rPr>
        <w:t>LLM은 변경 사유에 필요한 평가 항목을 선택한다. Service는 선택된 항목과 자재 속성을 이용하여 단계별 검증과 점수 계산을 수행한다. 평가 기준이나 데이터가 부족하면 임의로 PASS하지 않고 CONDITIONAL로 유지한다.</w:t>
      </w:r>
    </w:p>
    <w:p>
      <w:pPr>
        <w:pStyle w:val="Heading1"/>
        <w:keepNext/>
      </w:pPr>
      <w:r>
        <w:t>8. 조건부 후보와 승인 정책</w:t>
      </w:r>
    </w:p>
    <w:p>
      <w:r>
        <w:rPr>
          <w:rFonts w:ascii="Calibri" w:hAnsi="Calibri" w:eastAsia="Malgun Gothic"/>
          <w:color w:val="202124"/>
          <w:sz w:val="22"/>
        </w:rPr>
        <w:t>PASS가 없고 CONDITIONAL만 존재하는 경우:</w:t>
      </w:r>
    </w:p>
    <w:p>
      <w:pPr>
        <w:pStyle w:val="ListNumber"/>
      </w:pPr>
      <w:r>
        <w:rPr>
          <w:rFonts w:ascii="Calibri" w:hAnsi="Calibri" w:eastAsia="Malgun Gothic"/>
          <w:color w:val="202124"/>
          <w:sz w:val="22"/>
        </w:rPr>
        <w:t>누락 데이터와 조건부 사유를 제시한다.</w:t>
      </w:r>
    </w:p>
    <w:p>
      <w:pPr>
        <w:pStyle w:val="ListNumber"/>
      </w:pPr>
      <w:r>
        <w:rPr>
          <w:rFonts w:ascii="Calibri" w:hAnsi="Calibri" w:eastAsia="Malgun Gothic"/>
          <w:color w:val="202124"/>
          <w:sz w:val="22"/>
        </w:rPr>
        <w:t>사용자가 추가 데이터를 입력하면 자동 재검증한다.</w:t>
      </w:r>
    </w:p>
    <w:p>
      <w:pPr>
        <w:pStyle w:val="ListNumber"/>
      </w:pPr>
      <w:r>
        <w:rPr>
          <w:rFonts w:ascii="Calibri" w:hAnsi="Calibri" w:eastAsia="Malgun Gothic"/>
          <w:color w:val="202124"/>
          <w:sz w:val="22"/>
        </w:rPr>
        <w:t>재검증 후에도 CONDITIONAL이면 예외승인 사유를 입력받는다.</w:t>
      </w:r>
    </w:p>
    <w:p>
      <w:pPr>
        <w:pStyle w:val="ListNumber"/>
      </w:pPr>
      <w:r>
        <w:rPr>
          <w:rFonts w:ascii="Calibri" w:hAnsi="Calibri" w:eastAsia="Malgun Gothic"/>
          <w:color w:val="202124"/>
          <w:sz w:val="22"/>
        </w:rPr>
        <w:t>예외승인 이력을 저장한 후 다음 단계 진행을 허용한다.</w:t>
      </w:r>
    </w:p>
    <w:p>
      <w:r>
        <w:rPr>
          <w:rFonts w:ascii="Calibri" w:hAnsi="Calibri" w:eastAsia="Malgun Gothic"/>
          <w:color w:val="202124"/>
          <w:sz w:val="22"/>
        </w:rPr>
        <w:t>FAIL은 예외승인으로 변경하거나 적용할 수 없다.</w:t>
      </w:r>
    </w:p>
    <w:p>
      <w:r>
        <w:rPr>
          <w:rFonts w:ascii="Calibri" w:hAnsi="Calibri" w:eastAsia="Malgun Gothic"/>
          <w:color w:val="202124"/>
          <w:sz w:val="22"/>
        </w:rPr>
        <w:t>승인은 두 번 수행한다.</w:t>
      </w:r>
    </w:p>
    <w:p>
      <w:pPr>
        <w:pStyle w:val="ListNumber"/>
      </w:pPr>
      <w:r>
        <w:rPr>
          <w:rFonts w:ascii="Calibri" w:hAnsi="Calibri" w:eastAsia="Malgun Gothic"/>
          <w:color w:val="202124"/>
          <w:sz w:val="22"/>
        </w:rPr>
        <w:t>후보 선택 승인: Action별 자재와 주 공급사를 선택한 후 전체 변경안을 승인한다.</w:t>
      </w:r>
    </w:p>
    <w:p>
      <w:pPr>
        <w:pStyle w:val="ListNumber"/>
      </w:pPr>
      <w:r>
        <w:rPr>
          <w:rFonts w:ascii="Calibri" w:hAnsi="Calibri" w:eastAsia="Malgun Gothic"/>
          <w:color w:val="202124"/>
          <w:sz w:val="22"/>
        </w:rPr>
        <w:t>최종 Apply 승인: 영향 분석과 Preview를 확인한 후 Production 반영을 승인한다.</w:t>
      </w:r>
    </w:p>
    <w:p>
      <w:pPr>
        <w:pStyle w:val="Heading1"/>
        <w:keepNext/>
      </w:pPr>
      <w:r>
        <w:t>9. 공용 ASSY 처리</w:t>
      </w:r>
    </w:p>
    <w:p>
      <w:r>
        <w:rPr>
          <w:rFonts w:ascii="Calibri" w:hAnsi="Calibri" w:eastAsia="Malgun Gothic"/>
          <w:color w:val="202124"/>
          <w:sz w:val="22"/>
        </w:rPr>
        <w:t>동일 ASSY의 BOM은 항상 동일해야 한다. 특정 모델에서 공용 ASSY 내부 자재를 바꾸기 위해 모델별 복제 ASSY를 만들지 않는다.</w:t>
      </w:r>
    </w:p>
    <w:p>
      <w:r>
        <w:rPr>
          <w:rFonts w:ascii="Calibri" w:hAnsi="Calibri" w:eastAsia="Malgun Gothic"/>
          <w:color w:val="202124"/>
          <w:sz w:val="22"/>
        </w:rPr>
        <w:t>공용 ASSY가 변경되면:</w:t>
      </w:r>
    </w:p>
    <w:p>
      <w:pPr>
        <w:pStyle w:val="ListNumber"/>
      </w:pPr>
      <w:r>
        <w:rPr>
          <w:rFonts w:ascii="Calibri" w:hAnsi="Calibri" w:eastAsia="Malgun Gothic"/>
          <w:color w:val="202124"/>
          <w:sz w:val="22"/>
        </w:rPr>
        <w:t>직접 Parent와 상위 ASSY를 재귀 탐색한다.</w:t>
      </w:r>
    </w:p>
    <w:p>
      <w:pPr>
        <w:pStyle w:val="ListNumber"/>
      </w:pPr>
      <w:r>
        <w:rPr>
          <w:rFonts w:ascii="Calibri" w:hAnsi="Calibri" w:eastAsia="Malgun Gothic"/>
          <w:color w:val="202124"/>
          <w:sz w:val="22"/>
        </w:rPr>
        <w:t>영향받는 전체 모델과 Assembly를 식별한다.</w:t>
      </w:r>
    </w:p>
    <w:p>
      <w:pPr>
        <w:pStyle w:val="ListNumber"/>
      </w:pPr>
      <w:r>
        <w:rPr>
          <w:rFonts w:ascii="Calibri" w:hAnsi="Calibri" w:eastAsia="Malgun Gothic"/>
          <w:color w:val="202124"/>
          <w:sz w:val="22"/>
        </w:rPr>
        <w:t>영향 범위, 원가, 재고, 납기와 변경 BOM을 사용자에게 제공한다.</w:t>
      </w:r>
    </w:p>
    <w:p>
      <w:pPr>
        <w:pStyle w:val="ListNumber"/>
      </w:pPr>
      <w:r>
        <w:rPr>
          <w:rFonts w:ascii="Calibri" w:hAnsi="Calibri" w:eastAsia="Malgun Gothic"/>
          <w:color w:val="202124"/>
          <w:sz w:val="22"/>
        </w:rPr>
        <w:t>전체 모델을 하나의 변경 묶음으로 승인한다.</w:t>
      </w:r>
    </w:p>
    <w:p>
      <w:pPr>
        <w:pStyle w:val="ListNumber"/>
      </w:pPr>
      <w:r>
        <w:rPr>
          <w:rFonts w:ascii="Calibri" w:hAnsi="Calibri" w:eastAsia="Malgun Gothic"/>
          <w:color w:val="202124"/>
          <w:sz w:val="22"/>
        </w:rPr>
        <w:t>하나의 Transaction으로 전체 Apply한다.</w:t>
      </w:r>
    </w:p>
    <w:p>
      <w:pPr>
        <w:pStyle w:val="Heading1"/>
        <w:keepNext/>
      </w:pPr>
      <w:r>
        <w:t>10. 공급사·원가·납기·재고·생산계획</w:t>
      </w:r>
    </w:p>
    <w:p>
      <w:pPr>
        <w:pStyle w:val="Heading2"/>
        <w:keepNext/>
      </w:pPr>
      <w:r>
        <w:t>10.1 공급사</w:t>
      </w:r>
    </w:p>
    <w:p>
      <w:r>
        <w:rPr>
          <w:rFonts w:ascii="Calibri" w:hAnsi="Calibri" w:eastAsia="Malgun Gothic"/>
          <w:color w:val="202124"/>
          <w:sz w:val="22"/>
        </w:rPr>
        <w:t>하나의 자재에 여러 공급사를 연결한다. 공급사별 원가, 납기, 품질등급과 공급 안정성을 평가하여 주 공급사를 추천한다. 사용자는 자재와 주 공급사를 함께 선택·승인한다.</w:t>
      </w:r>
    </w:p>
    <w:p>
      <w:pPr>
        <w:pStyle w:val="Heading2"/>
        <w:keepNext/>
      </w:pPr>
      <w:r>
        <w:t>10.2 원가</w:t>
      </w:r>
    </w:p>
    <w:p>
      <w:r>
        <w:rPr>
          <w:rFonts w:ascii="Calibri" w:hAnsi="Calibri" w:eastAsia="Malgun Gothic"/>
          <w:color w:val="202124"/>
          <w:sz w:val="22"/>
        </w:rPr>
        <w:t>Phase3에서는 KRW 단일 통화를 사용한다. 데이터 모델에는 통화 코드를 저장하여 향후 다중 통화로 확장할 수 있게 한다.</w:t>
      </w:r>
    </w:p>
    <w:p>
      <w:pPr>
        <w:pStyle w:val="Heading2"/>
        <w:keepNext/>
      </w:pPr>
      <w:r>
        <w:t>10.3 재고</w:t>
      </w:r>
    </w:p>
    <w:p>
      <w:r>
        <w:rPr>
          <w:rFonts w:ascii="Calibri" w:hAnsi="Calibri" w:eastAsia="Malgun Gothic"/>
          <w:color w:val="202124"/>
          <w:sz w:val="22"/>
        </w:rPr>
        <w:t>재고 조직 구조:</w:t>
      </w:r>
    </w:p>
    <w:p>
      <w:pPr>
        <w:pStyle w:val="CodeBlock"/>
        <w:keepLines/>
      </w:pPr>
      <w:r>
        <w:rPr>
          <w:rFonts w:ascii="Consolas" w:hAnsi="Consolas" w:eastAsia="Malgun Gothic"/>
          <w:color w:val="0B2545"/>
          <w:sz w:val="18"/>
        </w:rPr>
        <w:t>공장 2개</w:t>
        <w:br/>
        <w:t xml:space="preserve">  └─ 공장별 창고 2개</w:t>
        <w:br/>
        <w:t xml:space="preserve">       └─ 창고별 Location 2개</w:t>
      </w:r>
    </w:p>
    <w:p>
      <w:r>
        <w:rPr>
          <w:rFonts w:ascii="Calibri" w:hAnsi="Calibri" w:eastAsia="Malgun Gothic"/>
          <w:color w:val="202124"/>
          <w:sz w:val="22"/>
        </w:rPr>
        <w:t>재고에는 현재고, 가용재고, 예약재고, 안전재고, 입고예정 수량·일자, Hold 수량과 갱신일을 포함한다.</w:t>
      </w:r>
    </w:p>
    <w:p>
      <w:pPr>
        <w:pStyle w:val="Heading2"/>
        <w:keepNext/>
      </w:pPr>
      <w:r>
        <w:t>10.4 수요 기준</w:t>
      </w:r>
    </w:p>
    <w:p>
      <w:r>
        <w:rPr>
          <w:rFonts w:ascii="Calibri" w:hAnsi="Calibri" w:eastAsia="Malgun Gothic"/>
          <w:color w:val="202124"/>
          <w:sz w:val="22"/>
        </w:rPr>
        <w:t>생산계획과 사용자 요청수량을 모두 지원한다. 요청수량이 있으면 요청수량을 주 판단 기준으로 사용하고 생산계획 기준 결과를 비교 표시한다. 적용일과 수량이 없으면 현재 기준일과 최신 유효 생산계획을 자동 적용하고 사용한 기본값을 명시한다. 유효 생산계획이 없으면 수량 관련 판정은 CONDITIONAL로 처리한다.</w:t>
      </w:r>
    </w:p>
    <w:p>
      <w:pPr>
        <w:pStyle w:val="Heading1"/>
        <w:keepNext/>
      </w:pPr>
      <w:r>
        <w:t>11. Rule 관리 UI</w:t>
      </w:r>
    </w:p>
    <w:p>
      <w:r>
        <w:rPr>
          <w:rFonts w:ascii="Calibri" w:hAnsi="Calibri" w:eastAsia="Malgun Gothic"/>
          <w:color w:val="202124"/>
          <w:sz w:val="22"/>
        </w:rPr>
        <w:t>Rule 조회 화면과 구조화된 추가 UI를 제공한다. 사용자 권한 구분과 관리자 비밀번호는 사용하지 않으며 모든 사용자가 Rule을 조회·추가할 수 있다.</w:t>
      </w:r>
    </w:p>
    <w:p>
      <w:r>
        <w:rPr>
          <w:rFonts w:ascii="Calibri" w:hAnsi="Calibri" w:eastAsia="Malgun Gothic"/>
          <w:color w:val="202124"/>
          <w:sz w:val="22"/>
        </w:rPr>
        <w:t>입력 항목:</w:t>
      </w:r>
    </w:p>
    <w:p>
      <w:pPr>
        <w:pStyle w:val="ListBullet"/>
      </w:pPr>
      <w:r>
        <w:rPr>
          <w:rFonts w:ascii="Calibri" w:hAnsi="Calibri" w:eastAsia="Malgun Gothic"/>
          <w:color w:val="202124"/>
          <w:sz w:val="22"/>
        </w:rPr>
        <w:t>Rule명과 설명</w:t>
      </w:r>
    </w:p>
    <w:p>
      <w:pPr>
        <w:pStyle w:val="ListBullet"/>
      </w:pPr>
      <w:r>
        <w:rPr>
          <w:rFonts w:ascii="Calibri" w:hAnsi="Calibri" w:eastAsia="Malgun Gothic"/>
          <w:color w:val="202124"/>
          <w:sz w:val="22"/>
        </w:rPr>
        <w:t>변경 사유</w:t>
      </w:r>
    </w:p>
    <w:p>
      <w:pPr>
        <w:pStyle w:val="ListBullet"/>
      </w:pPr>
      <w:r>
        <w:rPr>
          <w:rFonts w:ascii="Calibri" w:hAnsi="Calibri" w:eastAsia="Malgun Gothic"/>
          <w:color w:val="202124"/>
          <w:sz w:val="22"/>
        </w:rPr>
        <w:t>대상 유형과 자재분류</w:t>
      </w:r>
    </w:p>
    <w:p>
      <w:pPr>
        <w:pStyle w:val="ListBullet"/>
      </w:pPr>
      <w:r>
        <w:rPr>
          <w:rFonts w:ascii="Calibri" w:hAnsi="Calibri" w:eastAsia="Malgun Gothic"/>
          <w:color w:val="202124"/>
          <w:sz w:val="22"/>
        </w:rPr>
        <w:t>필수조건 또는 점수항목</w:t>
      </w:r>
    </w:p>
    <w:p>
      <w:pPr>
        <w:pStyle w:val="ListBullet"/>
      </w:pPr>
      <w:r>
        <w:rPr>
          <w:rFonts w:ascii="Calibri" w:hAnsi="Calibri" w:eastAsia="Malgun Gothic"/>
          <w:color w:val="202124"/>
          <w:sz w:val="22"/>
        </w:rPr>
        <w:t>속성, 연산자, 기준값</w:t>
      </w:r>
    </w:p>
    <w:p>
      <w:pPr>
        <w:pStyle w:val="ListBullet"/>
      </w:pPr>
      <w:r>
        <w:rPr>
          <w:rFonts w:ascii="Calibri" w:hAnsi="Calibri" w:eastAsia="Malgun Gothic"/>
          <w:color w:val="202124"/>
          <w:sz w:val="22"/>
        </w:rPr>
        <w:t>가중치</w:t>
      </w:r>
    </w:p>
    <w:p>
      <w:pPr>
        <w:pStyle w:val="ListBullet"/>
      </w:pPr>
      <w:r>
        <w:rPr>
          <w:rFonts w:ascii="Calibri" w:hAnsi="Calibri" w:eastAsia="Malgun Gothic"/>
          <w:color w:val="202124"/>
          <w:sz w:val="22"/>
        </w:rPr>
        <w:t>유효 시작일</w:t>
      </w:r>
    </w:p>
    <w:p>
      <w:pPr>
        <w:pStyle w:val="ListBullet"/>
      </w:pPr>
      <w:r>
        <w:rPr>
          <w:rFonts w:ascii="Calibri" w:hAnsi="Calibri" w:eastAsia="Malgun Gothic"/>
          <w:color w:val="202124"/>
          <w:sz w:val="22"/>
        </w:rPr>
        <w:t>활성 상태와 Revision</w:t>
      </w:r>
    </w:p>
    <w:p>
      <w:r>
        <w:rPr>
          <w:rFonts w:ascii="Calibri" w:hAnsi="Calibri" w:eastAsia="Malgun Gothic"/>
          <w:color w:val="202124"/>
          <w:sz w:val="22"/>
        </w:rPr>
        <w:t>기존 Rule은 직접 덮어쓰거나 물리 삭제하지 않는다. 수정이 필요하면 새 Revision을 생성하고 더 이상 사용하지 않을 Rule은 비활성화한다. Rule은 사용자가 명시적으로 활성화해야 하며 활성화 시 유효 시작일을 반드시 입력한다. 과거 추천과 Apply 이력에는 당시 사용한 Rule Revision을 영구 보존한다.</w:t>
      </w:r>
    </w:p>
    <w:p>
      <w:pPr>
        <w:pStyle w:val="Heading1"/>
        <w:keepNext/>
      </w:pPr>
      <w:r>
        <w:t>12. 데이터 아키텍처 확장</w:t>
      </w:r>
    </w:p>
    <w:p>
      <w:r>
        <w:rPr>
          <w:rFonts w:ascii="Calibri" w:hAnsi="Calibri" w:eastAsia="Malgun Gothic"/>
          <w:color w:val="202124"/>
          <w:sz w:val="22"/>
        </w:rPr>
        <w:t xml:space="preserve">기존 </w:t>
      </w:r>
      <w:r>
        <w:rPr>
          <w:rFonts w:ascii="Consolas" w:hAnsi="Consolas" w:eastAsia="Malgun Gothic"/>
          <w:color w:val="1F4D78"/>
          <w:sz w:val="19"/>
        </w:rPr>
        <w:t>display_bom.db</w:t>
      </w:r>
      <w:r>
        <w:rPr>
          <w:rFonts w:ascii="Calibri" w:hAnsi="Calibri" w:eastAsia="Malgun Gothic"/>
          <w:color w:val="202124"/>
          <w:sz w:val="22"/>
        </w:rPr>
        <w:t xml:space="preserve">를 연속적으로 확장한다. Phase3 전용 임시 DB, CSV 또는 </w:t>
      </w:r>
      <w:r>
        <w:rPr>
          <w:rFonts w:ascii="Consolas" w:hAnsi="Consolas" w:eastAsia="Malgun Gothic"/>
          <w:color w:val="1F4D78"/>
          <w:sz w:val="19"/>
        </w:rPr>
        <w:t>phase3_*</w:t>
      </w:r>
      <w:r>
        <w:rPr>
          <w:rFonts w:ascii="Calibri" w:hAnsi="Calibri" w:eastAsia="Malgun Gothic"/>
          <w:color w:val="202124"/>
          <w:sz w:val="22"/>
        </w:rPr>
        <w:t xml:space="preserve"> 형태의 임시 테이블을 사용하지 않는다.</w:t>
      </w:r>
    </w:p>
    <w:p>
      <w:r>
        <w:rPr>
          <w:rFonts w:ascii="Calibri" w:hAnsi="Calibri" w:eastAsia="Malgun Gothic"/>
          <w:color w:val="202124"/>
          <w:sz w:val="22"/>
        </w:rPr>
        <w:t>확장 Domain:</w:t>
      </w:r>
    </w:p>
    <w:p>
      <w:pPr>
        <w:pStyle w:val="ListBullet"/>
      </w:pPr>
      <w:r>
        <w:rPr>
          <w:rFonts w:ascii="Calibri" w:hAnsi="Calibri" w:eastAsia="Malgun Gothic"/>
          <w:color w:val="202124"/>
          <w:sz w:val="22"/>
        </w:rPr>
        <w:t>자재·ASSY 속성과 대체관계</w:t>
      </w:r>
    </w:p>
    <w:p>
      <w:pPr>
        <w:pStyle w:val="ListBullet"/>
      </w:pPr>
      <w:r>
        <w:rPr>
          <w:rFonts w:ascii="Calibri" w:hAnsi="Calibri" w:eastAsia="Malgun Gothic"/>
          <w:color w:val="202124"/>
          <w:sz w:val="22"/>
        </w:rPr>
        <w:t>공급사 및 자재·공급사 조건</w:t>
      </w:r>
    </w:p>
    <w:p>
      <w:pPr>
        <w:pStyle w:val="ListBullet"/>
      </w:pPr>
      <w:r>
        <w:rPr>
          <w:rFonts w:ascii="Calibri" w:hAnsi="Calibri" w:eastAsia="Malgun Gothic"/>
          <w:color w:val="202124"/>
          <w:sz w:val="22"/>
        </w:rPr>
        <w:t>공장·창고·Location 및 재고</w:t>
      </w:r>
    </w:p>
    <w:p>
      <w:pPr>
        <w:pStyle w:val="ListBullet"/>
      </w:pPr>
      <w:r>
        <w:rPr>
          <w:rFonts w:ascii="Calibri" w:hAnsi="Calibri" w:eastAsia="Malgun Gothic"/>
          <w:color w:val="202124"/>
          <w:sz w:val="22"/>
        </w:rPr>
        <w:t>생산계획과 수요 기준</w:t>
      </w:r>
    </w:p>
    <w:p>
      <w:pPr>
        <w:pStyle w:val="ListBullet"/>
      </w:pPr>
      <w:r>
        <w:rPr>
          <w:rFonts w:ascii="Calibri" w:hAnsi="Calibri" w:eastAsia="Malgun Gothic"/>
          <w:color w:val="202124"/>
          <w:sz w:val="22"/>
        </w:rPr>
        <w:t>Rule 정의·Revision·유효기간</w:t>
      </w:r>
    </w:p>
    <w:p>
      <w:pPr>
        <w:pStyle w:val="ListBullet"/>
      </w:pPr>
      <w:r>
        <w:rPr>
          <w:rFonts w:ascii="Calibri" w:hAnsi="Calibri" w:eastAsia="Malgun Gothic"/>
          <w:color w:val="202124"/>
          <w:sz w:val="22"/>
        </w:rPr>
        <w:t>추천 세션·후보·점수·상태·근거</w:t>
      </w:r>
    </w:p>
    <w:p>
      <w:pPr>
        <w:pStyle w:val="ListBullet"/>
      </w:pPr>
      <w:r>
        <w:rPr>
          <w:rFonts w:ascii="Calibri" w:hAnsi="Calibri" w:eastAsia="Malgun Gothic"/>
          <w:color w:val="202124"/>
          <w:sz w:val="22"/>
        </w:rPr>
        <w:t>복수 Action 요청과 변경 항목</w:t>
      </w:r>
    </w:p>
    <w:p>
      <w:pPr>
        <w:pStyle w:val="ListBullet"/>
      </w:pPr>
      <w:r>
        <w:rPr>
          <w:rFonts w:ascii="Calibri" w:hAnsi="Calibri" w:eastAsia="Malgun Gothic"/>
          <w:color w:val="202124"/>
          <w:sz w:val="22"/>
        </w:rPr>
        <w:t>승인·예외승인·Preview·Apply 이력</w:t>
      </w:r>
    </w:p>
    <w:p>
      <w:pPr>
        <w:pStyle w:val="ListBullet"/>
      </w:pPr>
      <w:r>
        <w:rPr>
          <w:rFonts w:ascii="Calibri" w:hAnsi="Calibri" w:eastAsia="Malgun Gothic"/>
          <w:color w:val="202124"/>
          <w:sz w:val="22"/>
        </w:rPr>
        <w:t>적용 후 성과와 사용자 평가</w:t>
      </w:r>
    </w:p>
    <w:p>
      <w:pPr>
        <w:pStyle w:val="ListBullet"/>
      </w:pPr>
      <w:r>
        <w:rPr>
          <w:rFonts w:ascii="Calibri" w:hAnsi="Calibri" w:eastAsia="Malgun Gothic"/>
          <w:color w:val="202124"/>
          <w:sz w:val="22"/>
        </w:rPr>
        <w:t>학습 레코드 및 JSONL Export 이력</w:t>
      </w:r>
    </w:p>
    <w:p>
      <w:r>
        <w:rPr>
          <w:rFonts w:ascii="Calibri" w:hAnsi="Calibri" w:eastAsia="Malgun Gothic"/>
          <w:color w:val="202124"/>
          <w:sz w:val="22"/>
        </w:rPr>
        <w:t>모든 테이블은 PK, FK, UNIQUE, NOT NULL, CHECK, Revision, Timestamp와 필요한 Index를 정의한다. Production Apply는 Unit of Work 안에서 변경 BOM, Apply 이력, Workflow 상태와 Audit Event를 함께 Commit한다.</w:t>
      </w:r>
    </w:p>
    <w:p>
      <w:pPr>
        <w:pStyle w:val="Heading1"/>
        <w:keepNext/>
      </w:pPr>
      <w:r>
        <w:t>13. 10개 사례와 샘플데이터</w:t>
      </w:r>
    </w:p>
    <w:tbl>
      <w:tblPr>
        <w:tblStyle w:val="TableGrid"/>
        <w:tblW w:type="dxa" w:w="9360"/>
        <w:jc w:val="left"/>
        <w:tblLayout w:type="fixed"/>
        <w:tblLook w:firstColumn="1" w:firstRow="1" w:lastColumn="0" w:lastRow="0" w:noHBand="0" w:noVBand="1" w:val="04A0"/>
        <w:tblInd w:w="120" w:type="dxa"/>
      </w:tblPr>
      <w:tblGrid>
        <w:gridCol w:w="550"/>
        <w:gridCol w:w="2150"/>
        <w:gridCol w:w="1450"/>
        <w:gridCol w:w="1750"/>
        <w:gridCol w:w="3460"/>
      </w:tblGrid>
      <w:tr>
        <w:trPr>
          <w:tblHeader w:val="true"/>
        </w:trPr>
        <w:tc>
          <w:tcPr>
            <w:tcW w:type="dxa" w:w="550"/>
            <w:tcMar>
              <w:top w:w="80" w:type="dxa"/>
              <w:start w:w="120" w:type="dxa"/>
              <w:bottom w:w="80" w:type="dxa"/>
              <w:end w:w="120" w:type="dxa"/>
            </w:tcMar>
            <w:vAlign w:val="center"/>
            <w:tcBorders>
              <w:top w:val="single" w:sz="5" w:color="D0D5DD"/>
              <w:start w:val="single" w:sz="5" w:color="D0D5DD"/>
              <w:bottom w:val="single" w:sz="5" w:color="D0D5DD"/>
              <w:end w:val="single" w:sz="5" w:color="D0D5DD"/>
              <w:insideH w:val="single" w:sz="5" w:color="D0D5DD"/>
              <w:insideV w:val="single" w:sz="5" w:color="D0D5DD"/>
            </w:tcBorders>
            <w:shd w:fill="E8EEF5"/>
          </w:tcPr>
          <w:p>
            <w:pPr>
              <w:keepLines/>
              <w:spacing w:before="0" w:after="0" w:line="264" w:lineRule="auto"/>
              <w:jc w:val="center"/>
            </w:pPr>
            <w:r>
              <w:rPr>
                <w:rFonts w:ascii="Calibri" w:hAnsi="Calibri" w:eastAsia="Malgun Gothic"/>
                <w:b/>
                <w:color w:val="0B2545"/>
                <w:sz w:val="17"/>
              </w:rPr>
              <w:t>No.</w:t>
            </w:r>
          </w:p>
        </w:tc>
        <w:tc>
          <w:tcPr>
            <w:tcW w:type="dxa" w:w="2150"/>
            <w:tcMar>
              <w:top w:w="80" w:type="dxa"/>
              <w:start w:w="120" w:type="dxa"/>
              <w:bottom w:w="80" w:type="dxa"/>
              <w:end w:w="120" w:type="dxa"/>
            </w:tcMar>
            <w:vAlign w:val="center"/>
            <w:tcBorders>
              <w:top w:val="single" w:sz="5" w:color="D0D5DD"/>
              <w:start w:val="single" w:sz="5" w:color="D0D5DD"/>
              <w:bottom w:val="single" w:sz="5" w:color="D0D5DD"/>
              <w:end w:val="single" w:sz="5" w:color="D0D5DD"/>
              <w:insideH w:val="single" w:sz="5" w:color="D0D5DD"/>
              <w:insideV w:val="single" w:sz="5" w:color="D0D5DD"/>
            </w:tcBorders>
            <w:shd w:fill="E8EEF5"/>
          </w:tcPr>
          <w:p>
            <w:pPr>
              <w:keepLines/>
              <w:spacing w:before="0" w:after="0" w:line="264" w:lineRule="auto"/>
            </w:pPr>
            <w:r>
              <w:rPr>
                <w:rFonts w:ascii="Calibri" w:hAnsi="Calibri" w:eastAsia="Malgun Gothic"/>
                <w:b/>
                <w:color w:val="0B2545"/>
                <w:sz w:val="17"/>
              </w:rPr>
              <w:t>변경 사례</w:t>
            </w:r>
          </w:p>
        </w:tc>
        <w:tc>
          <w:tcPr>
            <w:tcW w:type="dxa" w:w="1450"/>
            <w:tcMar>
              <w:top w:w="80" w:type="dxa"/>
              <w:start w:w="120" w:type="dxa"/>
              <w:bottom w:w="80" w:type="dxa"/>
              <w:end w:w="120" w:type="dxa"/>
            </w:tcMar>
            <w:vAlign w:val="center"/>
            <w:tcBorders>
              <w:top w:val="single" w:sz="5" w:color="D0D5DD"/>
              <w:start w:val="single" w:sz="5" w:color="D0D5DD"/>
              <w:bottom w:val="single" w:sz="5" w:color="D0D5DD"/>
              <w:end w:val="single" w:sz="5" w:color="D0D5DD"/>
              <w:insideH w:val="single" w:sz="5" w:color="D0D5DD"/>
              <w:insideV w:val="single" w:sz="5" w:color="D0D5DD"/>
            </w:tcBorders>
            <w:shd w:fill="E8EEF5"/>
          </w:tcPr>
          <w:p>
            <w:pPr>
              <w:keepLines/>
              <w:spacing w:before="0" w:after="0" w:line="264" w:lineRule="auto"/>
            </w:pPr>
            <w:r>
              <w:rPr>
                <w:rFonts w:ascii="Calibri" w:hAnsi="Calibri" w:eastAsia="Malgun Gothic"/>
                <w:b/>
                <w:color w:val="0B2545"/>
                <w:sz w:val="17"/>
              </w:rPr>
              <w:t>대상</w:t>
            </w:r>
          </w:p>
        </w:tc>
        <w:tc>
          <w:tcPr>
            <w:tcW w:type="dxa" w:w="1750"/>
            <w:tcMar>
              <w:top w:w="80" w:type="dxa"/>
              <w:start w:w="120" w:type="dxa"/>
              <w:bottom w:w="80" w:type="dxa"/>
              <w:end w:w="120" w:type="dxa"/>
            </w:tcMar>
            <w:vAlign w:val="center"/>
            <w:tcBorders>
              <w:top w:val="single" w:sz="5" w:color="D0D5DD"/>
              <w:start w:val="single" w:sz="5" w:color="D0D5DD"/>
              <w:bottom w:val="single" w:sz="5" w:color="D0D5DD"/>
              <w:end w:val="single" w:sz="5" w:color="D0D5DD"/>
              <w:insideH w:val="single" w:sz="5" w:color="D0D5DD"/>
              <w:insideV w:val="single" w:sz="5" w:color="D0D5DD"/>
            </w:tcBorders>
            <w:shd w:fill="E8EEF5"/>
          </w:tcPr>
          <w:p>
            <w:pPr>
              <w:keepLines/>
              <w:spacing w:before="0" w:after="0" w:line="264" w:lineRule="auto"/>
            </w:pPr>
            <w:r>
              <w:rPr>
                <w:rFonts w:ascii="Calibri" w:hAnsi="Calibri" w:eastAsia="Malgun Gothic"/>
                <w:b/>
                <w:color w:val="0B2545"/>
                <w:sz w:val="17"/>
              </w:rPr>
              <w:t>Action</w:t>
            </w:r>
          </w:p>
        </w:tc>
        <w:tc>
          <w:tcPr>
            <w:tcW w:type="dxa" w:w="3460"/>
            <w:tcMar>
              <w:top w:w="80" w:type="dxa"/>
              <w:start w:w="120" w:type="dxa"/>
              <w:bottom w:w="80" w:type="dxa"/>
              <w:end w:w="120" w:type="dxa"/>
            </w:tcMar>
            <w:vAlign w:val="center"/>
            <w:tcBorders>
              <w:top w:val="single" w:sz="5" w:color="D0D5DD"/>
              <w:start w:val="single" w:sz="5" w:color="D0D5DD"/>
              <w:bottom w:val="single" w:sz="5" w:color="D0D5DD"/>
              <w:end w:val="single" w:sz="5" w:color="D0D5DD"/>
              <w:insideH w:val="single" w:sz="5" w:color="D0D5DD"/>
              <w:insideV w:val="single" w:sz="5" w:color="D0D5DD"/>
            </w:tcBorders>
            <w:shd w:fill="E8EEF5"/>
          </w:tcPr>
          <w:p>
            <w:pPr>
              <w:keepLines/>
              <w:spacing w:before="0" w:after="0" w:line="264" w:lineRule="auto"/>
            </w:pPr>
            <w:r>
              <w:rPr>
                <w:rFonts w:ascii="Calibri" w:hAnsi="Calibri" w:eastAsia="Malgun Gothic"/>
                <w:b/>
                <w:color w:val="0B2545"/>
                <w:sz w:val="17"/>
              </w:rPr>
              <w:t>핵심 평가</w:t>
            </w:r>
          </w:p>
        </w:tc>
      </w:tr>
      <w:tr>
        <w:tc>
          <w:tcPr>
            <w:tcW w:type="dxa" w:w="550"/>
            <w:tcMar>
              <w:top w:w="80" w:type="dxa"/>
              <w:start w:w="120" w:type="dxa"/>
              <w:bottom w:w="80" w:type="dxa"/>
              <w:end w:w="120" w:type="dxa"/>
            </w:tcMar>
            <w:vAlign w:val="center"/>
            <w:tcBorders>
              <w:top w:val="single" w:sz="5" w:color="D0D5DD"/>
              <w:start w:val="single" w:sz="5" w:color="D0D5DD"/>
              <w:bottom w:val="single" w:sz="5" w:color="D0D5DD"/>
              <w:end w:val="single" w:sz="5" w:color="D0D5DD"/>
              <w:insideH w:val="single" w:sz="5" w:color="D0D5DD"/>
              <w:insideV w:val="single" w:sz="5" w:color="D0D5DD"/>
            </w:tcBorders>
          </w:tcPr>
          <w:p>
            <w:pPr>
              <w:keepLines/>
              <w:spacing w:before="0" w:after="0" w:line="264" w:lineRule="auto"/>
              <w:jc w:val="center"/>
            </w:pPr>
            <w:r>
              <w:rPr>
                <w:rFonts w:ascii="Calibri" w:hAnsi="Calibri" w:eastAsia="Malgun Gothic"/>
                <w:b w:val="0"/>
                <w:color w:val="0B2545"/>
                <w:sz w:val="17"/>
              </w:rPr>
              <w:t>1</w:t>
            </w:r>
          </w:p>
        </w:tc>
        <w:tc>
          <w:tcPr>
            <w:tcW w:type="dxa" w:w="2150"/>
            <w:tcMar>
              <w:top w:w="80" w:type="dxa"/>
              <w:start w:w="120" w:type="dxa"/>
              <w:bottom w:w="80" w:type="dxa"/>
              <w:end w:w="120" w:type="dxa"/>
            </w:tcMar>
            <w:vAlign w:val="center"/>
            <w:tcBorders>
              <w:top w:val="single" w:sz="5" w:color="D0D5DD"/>
              <w:start w:val="single" w:sz="5" w:color="D0D5DD"/>
              <w:bottom w:val="single" w:sz="5" w:color="D0D5DD"/>
              <w:end w:val="single" w:sz="5" w:color="D0D5DD"/>
              <w:insideH w:val="single" w:sz="5" w:color="D0D5DD"/>
              <w:insideV w:val="single" w:sz="5" w:color="D0D5DD"/>
            </w:tcBorders>
          </w:tcPr>
          <w:p>
            <w:pPr>
              <w:keepLines/>
              <w:spacing w:before="0" w:after="0" w:line="264" w:lineRule="auto"/>
            </w:pPr>
            <w:r>
              <w:rPr>
                <w:rFonts w:ascii="Calibri" w:hAnsi="Calibri" w:eastAsia="Malgun Gothic"/>
                <w:b w:val="0"/>
                <w:color w:val="0B2545"/>
                <w:sz w:val="17"/>
              </w:rPr>
              <w:t>단종(EOL) 대응</w:t>
            </w:r>
          </w:p>
        </w:tc>
        <w:tc>
          <w:tcPr>
            <w:tcW w:type="dxa" w:w="1450"/>
            <w:tcMar>
              <w:top w:w="80" w:type="dxa"/>
              <w:start w:w="120" w:type="dxa"/>
              <w:bottom w:w="80" w:type="dxa"/>
              <w:end w:w="120" w:type="dxa"/>
            </w:tcMar>
            <w:vAlign w:val="center"/>
            <w:tcBorders>
              <w:top w:val="single" w:sz="5" w:color="D0D5DD"/>
              <w:start w:val="single" w:sz="5" w:color="D0D5DD"/>
              <w:bottom w:val="single" w:sz="5" w:color="D0D5DD"/>
              <w:end w:val="single" w:sz="5" w:color="D0D5DD"/>
              <w:insideH w:val="single" w:sz="5" w:color="D0D5DD"/>
              <w:insideV w:val="single" w:sz="5" w:color="D0D5DD"/>
            </w:tcBorders>
          </w:tcPr>
          <w:p>
            <w:pPr>
              <w:keepLines/>
              <w:spacing w:before="0" w:after="0" w:line="264" w:lineRule="auto"/>
              <w:jc w:val="center"/>
            </w:pPr>
            <w:r>
              <w:rPr>
                <w:rFonts w:ascii="Calibri" w:hAnsi="Calibri" w:eastAsia="Malgun Gothic"/>
                <w:b w:val="0"/>
                <w:color w:val="0B2545"/>
                <w:sz w:val="17"/>
              </w:rPr>
              <w:t>MATERIAL</w:t>
            </w:r>
          </w:p>
        </w:tc>
        <w:tc>
          <w:tcPr>
            <w:tcW w:type="dxa" w:w="1750"/>
            <w:tcMar>
              <w:top w:w="80" w:type="dxa"/>
              <w:start w:w="120" w:type="dxa"/>
              <w:bottom w:w="80" w:type="dxa"/>
              <w:end w:w="120" w:type="dxa"/>
            </w:tcMar>
            <w:vAlign w:val="center"/>
            <w:tcBorders>
              <w:top w:val="single" w:sz="5" w:color="D0D5DD"/>
              <w:start w:val="single" w:sz="5" w:color="D0D5DD"/>
              <w:bottom w:val="single" w:sz="5" w:color="D0D5DD"/>
              <w:end w:val="single" w:sz="5" w:color="D0D5DD"/>
              <w:insideH w:val="single" w:sz="5" w:color="D0D5DD"/>
              <w:insideV w:val="single" w:sz="5" w:color="D0D5DD"/>
            </w:tcBorders>
          </w:tcPr>
          <w:p>
            <w:pPr>
              <w:keepLines/>
              <w:spacing w:before="0" w:after="0" w:line="264" w:lineRule="auto"/>
              <w:jc w:val="center"/>
            </w:pPr>
            <w:r>
              <w:rPr>
                <w:rFonts w:ascii="Calibri" w:hAnsi="Calibri" w:eastAsia="Malgun Gothic"/>
                <w:b w:val="0"/>
                <w:color w:val="0B2545"/>
                <w:sz w:val="17"/>
              </w:rPr>
              <w:t>REPLACE</w:t>
            </w:r>
          </w:p>
        </w:tc>
        <w:tc>
          <w:tcPr>
            <w:tcW w:type="dxa" w:w="3460"/>
            <w:tcMar>
              <w:top w:w="80" w:type="dxa"/>
              <w:start w:w="120" w:type="dxa"/>
              <w:bottom w:w="80" w:type="dxa"/>
              <w:end w:w="120" w:type="dxa"/>
            </w:tcMar>
            <w:vAlign w:val="center"/>
            <w:tcBorders>
              <w:top w:val="single" w:sz="5" w:color="D0D5DD"/>
              <w:start w:val="single" w:sz="5" w:color="D0D5DD"/>
              <w:bottom w:val="single" w:sz="5" w:color="D0D5DD"/>
              <w:end w:val="single" w:sz="5" w:color="D0D5DD"/>
              <w:insideH w:val="single" w:sz="5" w:color="D0D5DD"/>
              <w:insideV w:val="single" w:sz="5" w:color="D0D5DD"/>
            </w:tcBorders>
          </w:tcPr>
          <w:p>
            <w:pPr>
              <w:keepLines/>
              <w:spacing w:before="0" w:after="0" w:line="264" w:lineRule="auto"/>
            </w:pPr>
            <w:r>
              <w:rPr>
                <w:rFonts w:ascii="Calibri" w:hAnsi="Calibri" w:eastAsia="Malgun Gothic"/>
                <w:b w:val="0"/>
                <w:color w:val="0B2545"/>
                <w:sz w:val="17"/>
              </w:rPr>
              <w:t>Lifecycle, 호환성, 공급 지속성</w:t>
            </w:r>
          </w:p>
        </w:tc>
      </w:tr>
      <w:tr>
        <w:tc>
          <w:tcPr>
            <w:tcW w:type="dxa" w:w="550"/>
            <w:tcMar>
              <w:top w:w="80" w:type="dxa"/>
              <w:start w:w="120" w:type="dxa"/>
              <w:bottom w:w="80" w:type="dxa"/>
              <w:end w:w="120" w:type="dxa"/>
            </w:tcMar>
            <w:vAlign w:val="center"/>
            <w:tcBorders>
              <w:top w:val="single" w:sz="5" w:color="D0D5DD"/>
              <w:start w:val="single" w:sz="5" w:color="D0D5DD"/>
              <w:bottom w:val="single" w:sz="5" w:color="D0D5DD"/>
              <w:end w:val="single" w:sz="5" w:color="D0D5DD"/>
              <w:insideH w:val="single" w:sz="5" w:color="D0D5DD"/>
              <w:insideV w:val="single" w:sz="5" w:color="D0D5DD"/>
            </w:tcBorders>
          </w:tcPr>
          <w:p>
            <w:pPr>
              <w:keepLines/>
              <w:spacing w:before="0" w:after="0" w:line="264" w:lineRule="auto"/>
              <w:jc w:val="center"/>
            </w:pPr>
            <w:r>
              <w:rPr>
                <w:rFonts w:ascii="Calibri" w:hAnsi="Calibri" w:eastAsia="Malgun Gothic"/>
                <w:b w:val="0"/>
                <w:color w:val="0B2545"/>
                <w:sz w:val="17"/>
              </w:rPr>
              <w:t>2</w:t>
            </w:r>
          </w:p>
        </w:tc>
        <w:tc>
          <w:tcPr>
            <w:tcW w:type="dxa" w:w="2150"/>
            <w:tcMar>
              <w:top w:w="80" w:type="dxa"/>
              <w:start w:w="120" w:type="dxa"/>
              <w:bottom w:w="80" w:type="dxa"/>
              <w:end w:w="120" w:type="dxa"/>
            </w:tcMar>
            <w:vAlign w:val="center"/>
            <w:tcBorders>
              <w:top w:val="single" w:sz="5" w:color="D0D5DD"/>
              <w:start w:val="single" w:sz="5" w:color="D0D5DD"/>
              <w:bottom w:val="single" w:sz="5" w:color="D0D5DD"/>
              <w:end w:val="single" w:sz="5" w:color="D0D5DD"/>
              <w:insideH w:val="single" w:sz="5" w:color="D0D5DD"/>
              <w:insideV w:val="single" w:sz="5" w:color="D0D5DD"/>
            </w:tcBorders>
          </w:tcPr>
          <w:p>
            <w:pPr>
              <w:keepLines/>
              <w:spacing w:before="0" w:after="0" w:line="264" w:lineRule="auto"/>
            </w:pPr>
            <w:r>
              <w:rPr>
                <w:rFonts w:ascii="Calibri" w:hAnsi="Calibri" w:eastAsia="Malgun Gothic"/>
                <w:b w:val="0"/>
                <w:color w:val="0B2545"/>
                <w:sz w:val="17"/>
              </w:rPr>
              <w:t>공급사 공급중단</w:t>
            </w:r>
          </w:p>
        </w:tc>
        <w:tc>
          <w:tcPr>
            <w:tcW w:type="dxa" w:w="1450"/>
            <w:tcMar>
              <w:top w:w="80" w:type="dxa"/>
              <w:start w:w="120" w:type="dxa"/>
              <w:bottom w:w="80" w:type="dxa"/>
              <w:end w:w="120" w:type="dxa"/>
            </w:tcMar>
            <w:vAlign w:val="center"/>
            <w:tcBorders>
              <w:top w:val="single" w:sz="5" w:color="D0D5DD"/>
              <w:start w:val="single" w:sz="5" w:color="D0D5DD"/>
              <w:bottom w:val="single" w:sz="5" w:color="D0D5DD"/>
              <w:end w:val="single" w:sz="5" w:color="D0D5DD"/>
              <w:insideH w:val="single" w:sz="5" w:color="D0D5DD"/>
              <w:insideV w:val="single" w:sz="5" w:color="D0D5DD"/>
            </w:tcBorders>
          </w:tcPr>
          <w:p>
            <w:pPr>
              <w:keepLines/>
              <w:spacing w:before="0" w:after="0" w:line="264" w:lineRule="auto"/>
              <w:jc w:val="center"/>
            </w:pPr>
            <w:r>
              <w:rPr>
                <w:rFonts w:ascii="Calibri" w:hAnsi="Calibri" w:eastAsia="Malgun Gothic"/>
                <w:b w:val="0"/>
                <w:color w:val="0B2545"/>
                <w:sz w:val="17"/>
              </w:rPr>
              <w:t>MATERIAL</w:t>
            </w:r>
          </w:p>
        </w:tc>
        <w:tc>
          <w:tcPr>
            <w:tcW w:type="dxa" w:w="1750"/>
            <w:tcMar>
              <w:top w:w="80" w:type="dxa"/>
              <w:start w:w="120" w:type="dxa"/>
              <w:bottom w:w="80" w:type="dxa"/>
              <w:end w:w="120" w:type="dxa"/>
            </w:tcMar>
            <w:vAlign w:val="center"/>
            <w:tcBorders>
              <w:top w:val="single" w:sz="5" w:color="D0D5DD"/>
              <w:start w:val="single" w:sz="5" w:color="D0D5DD"/>
              <w:bottom w:val="single" w:sz="5" w:color="D0D5DD"/>
              <w:end w:val="single" w:sz="5" w:color="D0D5DD"/>
              <w:insideH w:val="single" w:sz="5" w:color="D0D5DD"/>
              <w:insideV w:val="single" w:sz="5" w:color="D0D5DD"/>
            </w:tcBorders>
          </w:tcPr>
          <w:p>
            <w:pPr>
              <w:keepLines/>
              <w:spacing w:before="0" w:after="0" w:line="264" w:lineRule="auto"/>
              <w:jc w:val="center"/>
            </w:pPr>
            <w:r>
              <w:rPr>
                <w:rFonts w:ascii="Calibri" w:hAnsi="Calibri" w:eastAsia="Malgun Gothic"/>
                <w:b w:val="0"/>
                <w:color w:val="0B2545"/>
                <w:sz w:val="17"/>
              </w:rPr>
              <w:t>REPLACE</w:t>
            </w:r>
          </w:p>
        </w:tc>
        <w:tc>
          <w:tcPr>
            <w:tcW w:type="dxa" w:w="3460"/>
            <w:tcMar>
              <w:top w:w="80" w:type="dxa"/>
              <w:start w:w="120" w:type="dxa"/>
              <w:bottom w:w="80" w:type="dxa"/>
              <w:end w:w="120" w:type="dxa"/>
            </w:tcMar>
            <w:vAlign w:val="center"/>
            <w:tcBorders>
              <w:top w:val="single" w:sz="5" w:color="D0D5DD"/>
              <w:start w:val="single" w:sz="5" w:color="D0D5DD"/>
              <w:bottom w:val="single" w:sz="5" w:color="D0D5DD"/>
              <w:end w:val="single" w:sz="5" w:color="D0D5DD"/>
              <w:insideH w:val="single" w:sz="5" w:color="D0D5DD"/>
              <w:insideV w:val="single" w:sz="5" w:color="D0D5DD"/>
            </w:tcBorders>
          </w:tcPr>
          <w:p>
            <w:pPr>
              <w:keepLines/>
              <w:spacing w:before="0" w:after="0" w:line="264" w:lineRule="auto"/>
            </w:pPr>
            <w:r>
              <w:rPr>
                <w:rFonts w:ascii="Calibri" w:hAnsi="Calibri" w:eastAsia="Malgun Gothic"/>
                <w:b w:val="0"/>
                <w:color w:val="0B2545"/>
                <w:sz w:val="17"/>
              </w:rPr>
              <w:t>대체 공급사, Lead Time, 공급 안정성</w:t>
            </w:r>
          </w:p>
        </w:tc>
      </w:tr>
      <w:tr>
        <w:tc>
          <w:tcPr>
            <w:tcW w:type="dxa" w:w="550"/>
            <w:tcMar>
              <w:top w:w="80" w:type="dxa"/>
              <w:start w:w="120" w:type="dxa"/>
              <w:bottom w:w="80" w:type="dxa"/>
              <w:end w:w="120" w:type="dxa"/>
            </w:tcMar>
            <w:vAlign w:val="center"/>
            <w:tcBorders>
              <w:top w:val="single" w:sz="5" w:color="D0D5DD"/>
              <w:start w:val="single" w:sz="5" w:color="D0D5DD"/>
              <w:bottom w:val="single" w:sz="5" w:color="D0D5DD"/>
              <w:end w:val="single" w:sz="5" w:color="D0D5DD"/>
              <w:insideH w:val="single" w:sz="5" w:color="D0D5DD"/>
              <w:insideV w:val="single" w:sz="5" w:color="D0D5DD"/>
            </w:tcBorders>
          </w:tcPr>
          <w:p>
            <w:pPr>
              <w:keepLines/>
              <w:spacing w:before="0" w:after="0" w:line="264" w:lineRule="auto"/>
              <w:jc w:val="center"/>
            </w:pPr>
            <w:r>
              <w:rPr>
                <w:rFonts w:ascii="Calibri" w:hAnsi="Calibri" w:eastAsia="Malgun Gothic"/>
                <w:b w:val="0"/>
                <w:color w:val="0B2545"/>
                <w:sz w:val="17"/>
              </w:rPr>
              <w:t>3</w:t>
            </w:r>
          </w:p>
        </w:tc>
        <w:tc>
          <w:tcPr>
            <w:tcW w:type="dxa" w:w="2150"/>
            <w:tcMar>
              <w:top w:w="80" w:type="dxa"/>
              <w:start w:w="120" w:type="dxa"/>
              <w:bottom w:w="80" w:type="dxa"/>
              <w:end w:w="120" w:type="dxa"/>
            </w:tcMar>
            <w:vAlign w:val="center"/>
            <w:tcBorders>
              <w:top w:val="single" w:sz="5" w:color="D0D5DD"/>
              <w:start w:val="single" w:sz="5" w:color="D0D5DD"/>
              <w:bottom w:val="single" w:sz="5" w:color="D0D5DD"/>
              <w:end w:val="single" w:sz="5" w:color="D0D5DD"/>
              <w:insideH w:val="single" w:sz="5" w:color="D0D5DD"/>
              <w:insideV w:val="single" w:sz="5" w:color="D0D5DD"/>
            </w:tcBorders>
          </w:tcPr>
          <w:p>
            <w:pPr>
              <w:keepLines/>
              <w:spacing w:before="0" w:after="0" w:line="264" w:lineRule="auto"/>
            </w:pPr>
            <w:r>
              <w:rPr>
                <w:rFonts w:ascii="Calibri" w:hAnsi="Calibri" w:eastAsia="Malgun Gothic"/>
                <w:b w:val="0"/>
                <w:color w:val="0B2545"/>
                <w:sz w:val="17"/>
              </w:rPr>
              <w:t>납기 개선</w:t>
            </w:r>
          </w:p>
        </w:tc>
        <w:tc>
          <w:tcPr>
            <w:tcW w:type="dxa" w:w="1450"/>
            <w:tcMar>
              <w:top w:w="80" w:type="dxa"/>
              <w:start w:w="120" w:type="dxa"/>
              <w:bottom w:w="80" w:type="dxa"/>
              <w:end w:w="120" w:type="dxa"/>
            </w:tcMar>
            <w:vAlign w:val="center"/>
            <w:tcBorders>
              <w:top w:val="single" w:sz="5" w:color="D0D5DD"/>
              <w:start w:val="single" w:sz="5" w:color="D0D5DD"/>
              <w:bottom w:val="single" w:sz="5" w:color="D0D5DD"/>
              <w:end w:val="single" w:sz="5" w:color="D0D5DD"/>
              <w:insideH w:val="single" w:sz="5" w:color="D0D5DD"/>
              <w:insideV w:val="single" w:sz="5" w:color="D0D5DD"/>
            </w:tcBorders>
          </w:tcPr>
          <w:p>
            <w:pPr>
              <w:keepLines/>
              <w:spacing w:before="0" w:after="0" w:line="264" w:lineRule="auto"/>
              <w:jc w:val="center"/>
            </w:pPr>
            <w:r>
              <w:rPr>
                <w:rFonts w:ascii="Calibri" w:hAnsi="Calibri" w:eastAsia="Malgun Gothic"/>
                <w:b w:val="0"/>
                <w:color w:val="0B2545"/>
                <w:sz w:val="17"/>
              </w:rPr>
              <w:t>MATERIAL/ASSY</w:t>
            </w:r>
          </w:p>
        </w:tc>
        <w:tc>
          <w:tcPr>
            <w:tcW w:type="dxa" w:w="1750"/>
            <w:tcMar>
              <w:top w:w="80" w:type="dxa"/>
              <w:start w:w="120" w:type="dxa"/>
              <w:bottom w:w="80" w:type="dxa"/>
              <w:end w:w="120" w:type="dxa"/>
            </w:tcMar>
            <w:vAlign w:val="center"/>
            <w:tcBorders>
              <w:top w:val="single" w:sz="5" w:color="D0D5DD"/>
              <w:start w:val="single" w:sz="5" w:color="D0D5DD"/>
              <w:bottom w:val="single" w:sz="5" w:color="D0D5DD"/>
              <w:end w:val="single" w:sz="5" w:color="D0D5DD"/>
              <w:insideH w:val="single" w:sz="5" w:color="D0D5DD"/>
              <w:insideV w:val="single" w:sz="5" w:color="D0D5DD"/>
            </w:tcBorders>
          </w:tcPr>
          <w:p>
            <w:pPr>
              <w:keepLines/>
              <w:spacing w:before="0" w:after="0" w:line="264" w:lineRule="auto"/>
              <w:jc w:val="center"/>
            </w:pPr>
            <w:r>
              <w:rPr>
                <w:rFonts w:ascii="Calibri" w:hAnsi="Calibri" w:eastAsia="Malgun Gothic"/>
                <w:b w:val="0"/>
                <w:color w:val="0B2545"/>
                <w:sz w:val="17"/>
              </w:rPr>
              <w:t>REPLACE</w:t>
            </w:r>
          </w:p>
        </w:tc>
        <w:tc>
          <w:tcPr>
            <w:tcW w:type="dxa" w:w="3460"/>
            <w:tcMar>
              <w:top w:w="80" w:type="dxa"/>
              <w:start w:w="120" w:type="dxa"/>
              <w:bottom w:w="80" w:type="dxa"/>
              <w:end w:w="120" w:type="dxa"/>
            </w:tcMar>
            <w:vAlign w:val="center"/>
            <w:tcBorders>
              <w:top w:val="single" w:sz="5" w:color="D0D5DD"/>
              <w:start w:val="single" w:sz="5" w:color="D0D5DD"/>
              <w:bottom w:val="single" w:sz="5" w:color="D0D5DD"/>
              <w:end w:val="single" w:sz="5" w:color="D0D5DD"/>
              <w:insideH w:val="single" w:sz="5" w:color="D0D5DD"/>
              <w:insideV w:val="single" w:sz="5" w:color="D0D5DD"/>
            </w:tcBorders>
          </w:tcPr>
          <w:p>
            <w:pPr>
              <w:keepLines/>
              <w:spacing w:before="0" w:after="0" w:line="264" w:lineRule="auto"/>
            </w:pPr>
            <w:r>
              <w:rPr>
                <w:rFonts w:ascii="Calibri" w:hAnsi="Calibri" w:eastAsia="Malgun Gothic"/>
                <w:b w:val="0"/>
                <w:color w:val="0B2545"/>
                <w:sz w:val="17"/>
              </w:rPr>
              <w:t>Lead Time, 재고, 생산계획 영향</w:t>
            </w:r>
          </w:p>
        </w:tc>
      </w:tr>
      <w:tr>
        <w:tc>
          <w:tcPr>
            <w:tcW w:type="dxa" w:w="550"/>
            <w:tcMar>
              <w:top w:w="80" w:type="dxa"/>
              <w:start w:w="120" w:type="dxa"/>
              <w:bottom w:w="80" w:type="dxa"/>
              <w:end w:w="120" w:type="dxa"/>
            </w:tcMar>
            <w:vAlign w:val="center"/>
            <w:tcBorders>
              <w:top w:val="single" w:sz="5" w:color="D0D5DD"/>
              <w:start w:val="single" w:sz="5" w:color="D0D5DD"/>
              <w:bottom w:val="single" w:sz="5" w:color="D0D5DD"/>
              <w:end w:val="single" w:sz="5" w:color="D0D5DD"/>
              <w:insideH w:val="single" w:sz="5" w:color="D0D5DD"/>
              <w:insideV w:val="single" w:sz="5" w:color="D0D5DD"/>
            </w:tcBorders>
          </w:tcPr>
          <w:p>
            <w:pPr>
              <w:keepLines/>
              <w:spacing w:before="0" w:after="0" w:line="264" w:lineRule="auto"/>
              <w:jc w:val="center"/>
            </w:pPr>
            <w:r>
              <w:rPr>
                <w:rFonts w:ascii="Calibri" w:hAnsi="Calibri" w:eastAsia="Malgun Gothic"/>
                <w:b w:val="0"/>
                <w:color w:val="0B2545"/>
                <w:sz w:val="17"/>
              </w:rPr>
              <w:t>4</w:t>
            </w:r>
          </w:p>
        </w:tc>
        <w:tc>
          <w:tcPr>
            <w:tcW w:type="dxa" w:w="2150"/>
            <w:tcMar>
              <w:top w:w="80" w:type="dxa"/>
              <w:start w:w="120" w:type="dxa"/>
              <w:bottom w:w="80" w:type="dxa"/>
              <w:end w:w="120" w:type="dxa"/>
            </w:tcMar>
            <w:vAlign w:val="center"/>
            <w:tcBorders>
              <w:top w:val="single" w:sz="5" w:color="D0D5DD"/>
              <w:start w:val="single" w:sz="5" w:color="D0D5DD"/>
              <w:bottom w:val="single" w:sz="5" w:color="D0D5DD"/>
              <w:end w:val="single" w:sz="5" w:color="D0D5DD"/>
              <w:insideH w:val="single" w:sz="5" w:color="D0D5DD"/>
              <w:insideV w:val="single" w:sz="5" w:color="D0D5DD"/>
            </w:tcBorders>
          </w:tcPr>
          <w:p>
            <w:pPr>
              <w:keepLines/>
              <w:spacing w:before="0" w:after="0" w:line="264" w:lineRule="auto"/>
            </w:pPr>
            <w:r>
              <w:rPr>
                <w:rFonts w:ascii="Calibri" w:hAnsi="Calibri" w:eastAsia="Malgun Gothic"/>
                <w:b w:val="0"/>
                <w:color w:val="0B2545"/>
                <w:sz w:val="17"/>
              </w:rPr>
              <w:t>원가 절감</w:t>
            </w:r>
          </w:p>
        </w:tc>
        <w:tc>
          <w:tcPr>
            <w:tcW w:type="dxa" w:w="1450"/>
            <w:tcMar>
              <w:top w:w="80" w:type="dxa"/>
              <w:start w:w="120" w:type="dxa"/>
              <w:bottom w:w="80" w:type="dxa"/>
              <w:end w:w="120" w:type="dxa"/>
            </w:tcMar>
            <w:vAlign w:val="center"/>
            <w:tcBorders>
              <w:top w:val="single" w:sz="5" w:color="D0D5DD"/>
              <w:start w:val="single" w:sz="5" w:color="D0D5DD"/>
              <w:bottom w:val="single" w:sz="5" w:color="D0D5DD"/>
              <w:end w:val="single" w:sz="5" w:color="D0D5DD"/>
              <w:insideH w:val="single" w:sz="5" w:color="D0D5DD"/>
              <w:insideV w:val="single" w:sz="5" w:color="D0D5DD"/>
            </w:tcBorders>
          </w:tcPr>
          <w:p>
            <w:pPr>
              <w:keepLines/>
              <w:spacing w:before="0" w:after="0" w:line="264" w:lineRule="auto"/>
              <w:jc w:val="center"/>
            </w:pPr>
            <w:r>
              <w:rPr>
                <w:rFonts w:ascii="Calibri" w:hAnsi="Calibri" w:eastAsia="Malgun Gothic"/>
                <w:b w:val="0"/>
                <w:color w:val="0B2545"/>
                <w:sz w:val="17"/>
              </w:rPr>
              <w:t>MATERIAL/ASSY</w:t>
            </w:r>
          </w:p>
        </w:tc>
        <w:tc>
          <w:tcPr>
            <w:tcW w:type="dxa" w:w="1750"/>
            <w:tcMar>
              <w:top w:w="80" w:type="dxa"/>
              <w:start w:w="120" w:type="dxa"/>
              <w:bottom w:w="80" w:type="dxa"/>
              <w:end w:w="120" w:type="dxa"/>
            </w:tcMar>
            <w:vAlign w:val="center"/>
            <w:tcBorders>
              <w:top w:val="single" w:sz="5" w:color="D0D5DD"/>
              <w:start w:val="single" w:sz="5" w:color="D0D5DD"/>
              <w:bottom w:val="single" w:sz="5" w:color="D0D5DD"/>
              <w:end w:val="single" w:sz="5" w:color="D0D5DD"/>
              <w:insideH w:val="single" w:sz="5" w:color="D0D5DD"/>
              <w:insideV w:val="single" w:sz="5" w:color="D0D5DD"/>
            </w:tcBorders>
          </w:tcPr>
          <w:p>
            <w:pPr>
              <w:keepLines/>
              <w:spacing w:before="0" w:after="0" w:line="264" w:lineRule="auto"/>
              <w:jc w:val="center"/>
            </w:pPr>
            <w:r>
              <w:rPr>
                <w:rFonts w:ascii="Calibri" w:hAnsi="Calibri" w:eastAsia="Malgun Gothic"/>
                <w:b w:val="0"/>
                <w:color w:val="0B2545"/>
                <w:sz w:val="17"/>
              </w:rPr>
              <w:t>REPLACE</w:t>
            </w:r>
          </w:p>
        </w:tc>
        <w:tc>
          <w:tcPr>
            <w:tcW w:type="dxa" w:w="3460"/>
            <w:tcMar>
              <w:top w:w="80" w:type="dxa"/>
              <w:start w:w="120" w:type="dxa"/>
              <w:bottom w:w="80" w:type="dxa"/>
              <w:end w:w="120" w:type="dxa"/>
            </w:tcMar>
            <w:vAlign w:val="center"/>
            <w:tcBorders>
              <w:top w:val="single" w:sz="5" w:color="D0D5DD"/>
              <w:start w:val="single" w:sz="5" w:color="D0D5DD"/>
              <w:bottom w:val="single" w:sz="5" w:color="D0D5DD"/>
              <w:end w:val="single" w:sz="5" w:color="D0D5DD"/>
              <w:insideH w:val="single" w:sz="5" w:color="D0D5DD"/>
              <w:insideV w:val="single" w:sz="5" w:color="D0D5DD"/>
            </w:tcBorders>
          </w:tcPr>
          <w:p>
            <w:pPr>
              <w:keepLines/>
              <w:spacing w:before="0" w:after="0" w:line="264" w:lineRule="auto"/>
            </w:pPr>
            <w:r>
              <w:rPr>
                <w:rFonts w:ascii="Calibri" w:hAnsi="Calibri" w:eastAsia="Malgun Gothic"/>
                <w:b w:val="0"/>
                <w:color w:val="0B2545"/>
                <w:sz w:val="17"/>
              </w:rPr>
              <w:t>단가, 전환비용, 품질 유지</w:t>
            </w:r>
          </w:p>
        </w:tc>
      </w:tr>
      <w:tr>
        <w:tc>
          <w:tcPr>
            <w:tcW w:type="dxa" w:w="550"/>
            <w:tcMar>
              <w:top w:w="80" w:type="dxa"/>
              <w:start w:w="120" w:type="dxa"/>
              <w:bottom w:w="80" w:type="dxa"/>
              <w:end w:w="120" w:type="dxa"/>
            </w:tcMar>
            <w:vAlign w:val="center"/>
            <w:tcBorders>
              <w:top w:val="single" w:sz="5" w:color="D0D5DD"/>
              <w:start w:val="single" w:sz="5" w:color="D0D5DD"/>
              <w:bottom w:val="single" w:sz="5" w:color="D0D5DD"/>
              <w:end w:val="single" w:sz="5" w:color="D0D5DD"/>
              <w:insideH w:val="single" w:sz="5" w:color="D0D5DD"/>
              <w:insideV w:val="single" w:sz="5" w:color="D0D5DD"/>
            </w:tcBorders>
          </w:tcPr>
          <w:p>
            <w:pPr>
              <w:keepLines/>
              <w:spacing w:before="0" w:after="0" w:line="264" w:lineRule="auto"/>
              <w:jc w:val="center"/>
            </w:pPr>
            <w:r>
              <w:rPr>
                <w:rFonts w:ascii="Calibri" w:hAnsi="Calibri" w:eastAsia="Malgun Gothic"/>
                <w:b w:val="0"/>
                <w:color w:val="0B2545"/>
                <w:sz w:val="17"/>
              </w:rPr>
              <w:t>5</w:t>
            </w:r>
          </w:p>
        </w:tc>
        <w:tc>
          <w:tcPr>
            <w:tcW w:type="dxa" w:w="2150"/>
            <w:tcMar>
              <w:top w:w="80" w:type="dxa"/>
              <w:start w:w="120" w:type="dxa"/>
              <w:bottom w:w="80" w:type="dxa"/>
              <w:end w:w="120" w:type="dxa"/>
            </w:tcMar>
            <w:vAlign w:val="center"/>
            <w:tcBorders>
              <w:top w:val="single" w:sz="5" w:color="D0D5DD"/>
              <w:start w:val="single" w:sz="5" w:color="D0D5DD"/>
              <w:bottom w:val="single" w:sz="5" w:color="D0D5DD"/>
              <w:end w:val="single" w:sz="5" w:color="D0D5DD"/>
              <w:insideH w:val="single" w:sz="5" w:color="D0D5DD"/>
              <w:insideV w:val="single" w:sz="5" w:color="D0D5DD"/>
            </w:tcBorders>
          </w:tcPr>
          <w:p>
            <w:pPr>
              <w:keepLines/>
              <w:spacing w:before="0" w:after="0" w:line="264" w:lineRule="auto"/>
            </w:pPr>
            <w:r>
              <w:rPr>
                <w:rFonts w:ascii="Calibri" w:hAnsi="Calibri" w:eastAsia="Malgun Gothic"/>
                <w:b w:val="0"/>
                <w:color w:val="0B2545"/>
                <w:sz w:val="17"/>
              </w:rPr>
              <w:t>재고 부족·긴급 대체</w:t>
            </w:r>
          </w:p>
        </w:tc>
        <w:tc>
          <w:tcPr>
            <w:tcW w:type="dxa" w:w="1450"/>
            <w:tcMar>
              <w:top w:w="80" w:type="dxa"/>
              <w:start w:w="120" w:type="dxa"/>
              <w:bottom w:w="80" w:type="dxa"/>
              <w:end w:w="120" w:type="dxa"/>
            </w:tcMar>
            <w:vAlign w:val="center"/>
            <w:tcBorders>
              <w:top w:val="single" w:sz="5" w:color="D0D5DD"/>
              <w:start w:val="single" w:sz="5" w:color="D0D5DD"/>
              <w:bottom w:val="single" w:sz="5" w:color="D0D5DD"/>
              <w:end w:val="single" w:sz="5" w:color="D0D5DD"/>
              <w:insideH w:val="single" w:sz="5" w:color="D0D5DD"/>
              <w:insideV w:val="single" w:sz="5" w:color="D0D5DD"/>
            </w:tcBorders>
          </w:tcPr>
          <w:p>
            <w:pPr>
              <w:keepLines/>
              <w:spacing w:before="0" w:after="0" w:line="264" w:lineRule="auto"/>
              <w:jc w:val="center"/>
            </w:pPr>
            <w:r>
              <w:rPr>
                <w:rFonts w:ascii="Calibri" w:hAnsi="Calibri" w:eastAsia="Malgun Gothic"/>
                <w:b w:val="0"/>
                <w:color w:val="0B2545"/>
                <w:sz w:val="17"/>
              </w:rPr>
              <w:t>MATERIAL</w:t>
            </w:r>
          </w:p>
        </w:tc>
        <w:tc>
          <w:tcPr>
            <w:tcW w:type="dxa" w:w="1750"/>
            <w:tcMar>
              <w:top w:w="80" w:type="dxa"/>
              <w:start w:w="120" w:type="dxa"/>
              <w:bottom w:w="80" w:type="dxa"/>
              <w:end w:w="120" w:type="dxa"/>
            </w:tcMar>
            <w:vAlign w:val="center"/>
            <w:tcBorders>
              <w:top w:val="single" w:sz="5" w:color="D0D5DD"/>
              <w:start w:val="single" w:sz="5" w:color="D0D5DD"/>
              <w:bottom w:val="single" w:sz="5" w:color="D0D5DD"/>
              <w:end w:val="single" w:sz="5" w:color="D0D5DD"/>
              <w:insideH w:val="single" w:sz="5" w:color="D0D5DD"/>
              <w:insideV w:val="single" w:sz="5" w:color="D0D5DD"/>
            </w:tcBorders>
          </w:tcPr>
          <w:p>
            <w:pPr>
              <w:keepLines/>
              <w:spacing w:before="0" w:after="0" w:line="264" w:lineRule="auto"/>
              <w:jc w:val="center"/>
            </w:pPr>
            <w:r>
              <w:rPr>
                <w:rFonts w:ascii="Calibri" w:hAnsi="Calibri" w:eastAsia="Malgun Gothic"/>
                <w:b w:val="0"/>
                <w:color w:val="0B2545"/>
                <w:sz w:val="17"/>
              </w:rPr>
              <w:t>REPLACE</w:t>
            </w:r>
          </w:p>
        </w:tc>
        <w:tc>
          <w:tcPr>
            <w:tcW w:type="dxa" w:w="3460"/>
            <w:tcMar>
              <w:top w:w="80" w:type="dxa"/>
              <w:start w:w="120" w:type="dxa"/>
              <w:bottom w:w="80" w:type="dxa"/>
              <w:end w:w="120" w:type="dxa"/>
            </w:tcMar>
            <w:vAlign w:val="center"/>
            <w:tcBorders>
              <w:top w:val="single" w:sz="5" w:color="D0D5DD"/>
              <w:start w:val="single" w:sz="5" w:color="D0D5DD"/>
              <w:bottom w:val="single" w:sz="5" w:color="D0D5DD"/>
              <w:end w:val="single" w:sz="5" w:color="D0D5DD"/>
              <w:insideH w:val="single" w:sz="5" w:color="D0D5DD"/>
              <w:insideV w:val="single" w:sz="5" w:color="D0D5DD"/>
            </w:tcBorders>
          </w:tcPr>
          <w:p>
            <w:pPr>
              <w:keepLines/>
              <w:spacing w:before="0" w:after="0" w:line="264" w:lineRule="auto"/>
            </w:pPr>
            <w:r>
              <w:rPr>
                <w:rFonts w:ascii="Calibri" w:hAnsi="Calibri" w:eastAsia="Malgun Gothic"/>
                <w:b w:val="0"/>
                <w:color w:val="0B2545"/>
                <w:sz w:val="17"/>
              </w:rPr>
              <w:t>가용재고, 입고예정, 긴급 납기</w:t>
            </w:r>
          </w:p>
        </w:tc>
      </w:tr>
      <w:tr>
        <w:tc>
          <w:tcPr>
            <w:tcW w:type="dxa" w:w="550"/>
            <w:tcMar>
              <w:top w:w="80" w:type="dxa"/>
              <w:start w:w="120" w:type="dxa"/>
              <w:bottom w:w="80" w:type="dxa"/>
              <w:end w:w="120" w:type="dxa"/>
            </w:tcMar>
            <w:vAlign w:val="center"/>
            <w:tcBorders>
              <w:top w:val="single" w:sz="5" w:color="D0D5DD"/>
              <w:start w:val="single" w:sz="5" w:color="D0D5DD"/>
              <w:bottom w:val="single" w:sz="5" w:color="D0D5DD"/>
              <w:end w:val="single" w:sz="5" w:color="D0D5DD"/>
              <w:insideH w:val="single" w:sz="5" w:color="D0D5DD"/>
              <w:insideV w:val="single" w:sz="5" w:color="D0D5DD"/>
            </w:tcBorders>
          </w:tcPr>
          <w:p>
            <w:pPr>
              <w:keepLines/>
              <w:spacing w:before="0" w:after="0" w:line="264" w:lineRule="auto"/>
              <w:jc w:val="center"/>
            </w:pPr>
            <w:r>
              <w:rPr>
                <w:rFonts w:ascii="Calibri" w:hAnsi="Calibri" w:eastAsia="Malgun Gothic"/>
                <w:b w:val="0"/>
                <w:color w:val="0B2545"/>
                <w:sz w:val="17"/>
              </w:rPr>
              <w:t>6</w:t>
            </w:r>
          </w:p>
        </w:tc>
        <w:tc>
          <w:tcPr>
            <w:tcW w:type="dxa" w:w="2150"/>
            <w:tcMar>
              <w:top w:w="80" w:type="dxa"/>
              <w:start w:w="120" w:type="dxa"/>
              <w:bottom w:w="80" w:type="dxa"/>
              <w:end w:w="120" w:type="dxa"/>
            </w:tcMar>
            <w:vAlign w:val="center"/>
            <w:tcBorders>
              <w:top w:val="single" w:sz="5" w:color="D0D5DD"/>
              <w:start w:val="single" w:sz="5" w:color="D0D5DD"/>
              <w:bottom w:val="single" w:sz="5" w:color="D0D5DD"/>
              <w:end w:val="single" w:sz="5" w:color="D0D5DD"/>
              <w:insideH w:val="single" w:sz="5" w:color="D0D5DD"/>
              <w:insideV w:val="single" w:sz="5" w:color="D0D5DD"/>
            </w:tcBorders>
          </w:tcPr>
          <w:p>
            <w:pPr>
              <w:keepLines/>
              <w:spacing w:before="0" w:after="0" w:line="264" w:lineRule="auto"/>
            </w:pPr>
            <w:r>
              <w:rPr>
                <w:rFonts w:ascii="Calibri" w:hAnsi="Calibri" w:eastAsia="Malgun Gothic"/>
                <w:b w:val="0"/>
                <w:color w:val="0B2545"/>
                <w:sz w:val="17"/>
              </w:rPr>
              <w:t>품질 불량 개선</w:t>
            </w:r>
          </w:p>
        </w:tc>
        <w:tc>
          <w:tcPr>
            <w:tcW w:type="dxa" w:w="1450"/>
            <w:tcMar>
              <w:top w:w="80" w:type="dxa"/>
              <w:start w:w="120" w:type="dxa"/>
              <w:bottom w:w="80" w:type="dxa"/>
              <w:end w:w="120" w:type="dxa"/>
            </w:tcMar>
            <w:vAlign w:val="center"/>
            <w:tcBorders>
              <w:top w:val="single" w:sz="5" w:color="D0D5DD"/>
              <w:start w:val="single" w:sz="5" w:color="D0D5DD"/>
              <w:bottom w:val="single" w:sz="5" w:color="D0D5DD"/>
              <w:end w:val="single" w:sz="5" w:color="D0D5DD"/>
              <w:insideH w:val="single" w:sz="5" w:color="D0D5DD"/>
              <w:insideV w:val="single" w:sz="5" w:color="D0D5DD"/>
            </w:tcBorders>
          </w:tcPr>
          <w:p>
            <w:pPr>
              <w:keepLines/>
              <w:spacing w:before="0" w:after="0" w:line="264" w:lineRule="auto"/>
              <w:jc w:val="center"/>
            </w:pPr>
            <w:r>
              <w:rPr>
                <w:rFonts w:ascii="Calibri" w:hAnsi="Calibri" w:eastAsia="Malgun Gothic"/>
                <w:b w:val="0"/>
                <w:color w:val="0B2545"/>
                <w:sz w:val="17"/>
              </w:rPr>
              <w:t>MATERIAL/ASSY</w:t>
            </w:r>
          </w:p>
        </w:tc>
        <w:tc>
          <w:tcPr>
            <w:tcW w:type="dxa" w:w="1750"/>
            <w:tcMar>
              <w:top w:w="80" w:type="dxa"/>
              <w:start w:w="120" w:type="dxa"/>
              <w:bottom w:w="80" w:type="dxa"/>
              <w:end w:w="120" w:type="dxa"/>
            </w:tcMar>
            <w:vAlign w:val="center"/>
            <w:tcBorders>
              <w:top w:val="single" w:sz="5" w:color="D0D5DD"/>
              <w:start w:val="single" w:sz="5" w:color="D0D5DD"/>
              <w:bottom w:val="single" w:sz="5" w:color="D0D5DD"/>
              <w:end w:val="single" w:sz="5" w:color="D0D5DD"/>
              <w:insideH w:val="single" w:sz="5" w:color="D0D5DD"/>
              <w:insideV w:val="single" w:sz="5" w:color="D0D5DD"/>
            </w:tcBorders>
          </w:tcPr>
          <w:p>
            <w:pPr>
              <w:keepLines/>
              <w:spacing w:before="0" w:after="0" w:line="264" w:lineRule="auto"/>
              <w:jc w:val="center"/>
            </w:pPr>
            <w:r>
              <w:rPr>
                <w:rFonts w:ascii="Calibri" w:hAnsi="Calibri" w:eastAsia="Malgun Gothic"/>
                <w:b w:val="0"/>
                <w:color w:val="0B2545"/>
                <w:sz w:val="17"/>
              </w:rPr>
              <w:t>REPLACE</w:t>
            </w:r>
          </w:p>
        </w:tc>
        <w:tc>
          <w:tcPr>
            <w:tcW w:type="dxa" w:w="3460"/>
            <w:tcMar>
              <w:top w:w="80" w:type="dxa"/>
              <w:start w:w="120" w:type="dxa"/>
              <w:bottom w:w="80" w:type="dxa"/>
              <w:end w:w="120" w:type="dxa"/>
            </w:tcMar>
            <w:vAlign w:val="center"/>
            <w:tcBorders>
              <w:top w:val="single" w:sz="5" w:color="D0D5DD"/>
              <w:start w:val="single" w:sz="5" w:color="D0D5DD"/>
              <w:bottom w:val="single" w:sz="5" w:color="D0D5DD"/>
              <w:end w:val="single" w:sz="5" w:color="D0D5DD"/>
              <w:insideH w:val="single" w:sz="5" w:color="D0D5DD"/>
              <w:insideV w:val="single" w:sz="5" w:color="D0D5DD"/>
            </w:tcBorders>
          </w:tcPr>
          <w:p>
            <w:pPr>
              <w:keepLines/>
              <w:spacing w:before="0" w:after="0" w:line="264" w:lineRule="auto"/>
            </w:pPr>
            <w:r>
              <w:rPr>
                <w:rFonts w:ascii="Calibri" w:hAnsi="Calibri" w:eastAsia="Malgun Gothic"/>
                <w:b w:val="0"/>
                <w:color w:val="0B2545"/>
                <w:sz w:val="17"/>
              </w:rPr>
              <w:t>품질등급, 불량률, 호환성</w:t>
            </w:r>
          </w:p>
        </w:tc>
      </w:tr>
      <w:tr>
        <w:tc>
          <w:tcPr>
            <w:tcW w:type="dxa" w:w="550"/>
            <w:tcMar>
              <w:top w:w="80" w:type="dxa"/>
              <w:start w:w="120" w:type="dxa"/>
              <w:bottom w:w="80" w:type="dxa"/>
              <w:end w:w="120" w:type="dxa"/>
            </w:tcMar>
            <w:vAlign w:val="center"/>
            <w:tcBorders>
              <w:top w:val="single" w:sz="5" w:color="D0D5DD"/>
              <w:start w:val="single" w:sz="5" w:color="D0D5DD"/>
              <w:bottom w:val="single" w:sz="5" w:color="D0D5DD"/>
              <w:end w:val="single" w:sz="5" w:color="D0D5DD"/>
              <w:insideH w:val="single" w:sz="5" w:color="D0D5DD"/>
              <w:insideV w:val="single" w:sz="5" w:color="D0D5DD"/>
            </w:tcBorders>
          </w:tcPr>
          <w:p>
            <w:pPr>
              <w:keepLines/>
              <w:spacing w:before="0" w:after="0" w:line="264" w:lineRule="auto"/>
              <w:jc w:val="center"/>
            </w:pPr>
            <w:r>
              <w:rPr>
                <w:rFonts w:ascii="Calibri" w:hAnsi="Calibri" w:eastAsia="Malgun Gothic"/>
                <w:b w:val="0"/>
                <w:color w:val="0B2545"/>
                <w:sz w:val="17"/>
              </w:rPr>
              <w:t>7</w:t>
            </w:r>
          </w:p>
        </w:tc>
        <w:tc>
          <w:tcPr>
            <w:tcW w:type="dxa" w:w="2150"/>
            <w:tcMar>
              <w:top w:w="80" w:type="dxa"/>
              <w:start w:w="120" w:type="dxa"/>
              <w:bottom w:w="80" w:type="dxa"/>
              <w:end w:w="120" w:type="dxa"/>
            </w:tcMar>
            <w:vAlign w:val="center"/>
            <w:tcBorders>
              <w:top w:val="single" w:sz="5" w:color="D0D5DD"/>
              <w:start w:val="single" w:sz="5" w:color="D0D5DD"/>
              <w:bottom w:val="single" w:sz="5" w:color="D0D5DD"/>
              <w:end w:val="single" w:sz="5" w:color="D0D5DD"/>
              <w:insideH w:val="single" w:sz="5" w:color="D0D5DD"/>
              <w:insideV w:val="single" w:sz="5" w:color="D0D5DD"/>
            </w:tcBorders>
          </w:tcPr>
          <w:p>
            <w:pPr>
              <w:keepLines/>
              <w:spacing w:before="0" w:after="0" w:line="264" w:lineRule="auto"/>
            </w:pPr>
            <w:r>
              <w:rPr>
                <w:rFonts w:ascii="Calibri" w:hAnsi="Calibri" w:eastAsia="Malgun Gothic"/>
                <w:b w:val="0"/>
                <w:color w:val="0B2545"/>
                <w:sz w:val="17"/>
              </w:rPr>
              <w:t>고객 신규 사양</w:t>
            </w:r>
          </w:p>
        </w:tc>
        <w:tc>
          <w:tcPr>
            <w:tcW w:type="dxa" w:w="1450"/>
            <w:tcMar>
              <w:top w:w="80" w:type="dxa"/>
              <w:start w:w="120" w:type="dxa"/>
              <w:bottom w:w="80" w:type="dxa"/>
              <w:end w:w="120" w:type="dxa"/>
            </w:tcMar>
            <w:vAlign w:val="center"/>
            <w:tcBorders>
              <w:top w:val="single" w:sz="5" w:color="D0D5DD"/>
              <w:start w:val="single" w:sz="5" w:color="D0D5DD"/>
              <w:bottom w:val="single" w:sz="5" w:color="D0D5DD"/>
              <w:end w:val="single" w:sz="5" w:color="D0D5DD"/>
              <w:insideH w:val="single" w:sz="5" w:color="D0D5DD"/>
              <w:insideV w:val="single" w:sz="5" w:color="D0D5DD"/>
            </w:tcBorders>
          </w:tcPr>
          <w:p>
            <w:pPr>
              <w:keepLines/>
              <w:spacing w:before="0" w:after="0" w:line="264" w:lineRule="auto"/>
              <w:jc w:val="center"/>
            </w:pPr>
            <w:r>
              <w:rPr>
                <w:rFonts w:ascii="Calibri" w:hAnsi="Calibri" w:eastAsia="Malgun Gothic"/>
                <w:b w:val="0"/>
                <w:color w:val="0B2545"/>
                <w:sz w:val="17"/>
              </w:rPr>
              <w:t>MATERIAL/ASSY</w:t>
            </w:r>
          </w:p>
        </w:tc>
        <w:tc>
          <w:tcPr>
            <w:tcW w:type="dxa" w:w="1750"/>
            <w:tcMar>
              <w:top w:w="80" w:type="dxa"/>
              <w:start w:w="120" w:type="dxa"/>
              <w:bottom w:w="80" w:type="dxa"/>
              <w:end w:w="120" w:type="dxa"/>
            </w:tcMar>
            <w:vAlign w:val="center"/>
            <w:tcBorders>
              <w:top w:val="single" w:sz="5" w:color="D0D5DD"/>
              <w:start w:val="single" w:sz="5" w:color="D0D5DD"/>
              <w:bottom w:val="single" w:sz="5" w:color="D0D5DD"/>
              <w:end w:val="single" w:sz="5" w:color="D0D5DD"/>
              <w:insideH w:val="single" w:sz="5" w:color="D0D5DD"/>
              <w:insideV w:val="single" w:sz="5" w:color="D0D5DD"/>
            </w:tcBorders>
          </w:tcPr>
          <w:p>
            <w:pPr>
              <w:keepLines/>
              <w:spacing w:before="0" w:after="0" w:line="264" w:lineRule="auto"/>
              <w:jc w:val="center"/>
            </w:pPr>
            <w:r>
              <w:rPr>
                <w:rFonts w:ascii="Calibri" w:hAnsi="Calibri" w:eastAsia="Malgun Gothic"/>
                <w:b w:val="0"/>
                <w:color w:val="0B2545"/>
                <w:sz w:val="17"/>
              </w:rPr>
              <w:t>ADD</w:t>
            </w:r>
          </w:p>
        </w:tc>
        <w:tc>
          <w:tcPr>
            <w:tcW w:type="dxa" w:w="3460"/>
            <w:tcMar>
              <w:top w:w="80" w:type="dxa"/>
              <w:start w:w="120" w:type="dxa"/>
              <w:bottom w:w="80" w:type="dxa"/>
              <w:end w:w="120" w:type="dxa"/>
            </w:tcMar>
            <w:vAlign w:val="center"/>
            <w:tcBorders>
              <w:top w:val="single" w:sz="5" w:color="D0D5DD"/>
              <w:start w:val="single" w:sz="5" w:color="D0D5DD"/>
              <w:bottom w:val="single" w:sz="5" w:color="D0D5DD"/>
              <w:end w:val="single" w:sz="5" w:color="D0D5DD"/>
              <w:insideH w:val="single" w:sz="5" w:color="D0D5DD"/>
              <w:insideV w:val="single" w:sz="5" w:color="D0D5DD"/>
            </w:tcBorders>
          </w:tcPr>
          <w:p>
            <w:pPr>
              <w:keepLines/>
              <w:spacing w:before="0" w:after="0" w:line="264" w:lineRule="auto"/>
            </w:pPr>
            <w:r>
              <w:rPr>
                <w:rFonts w:ascii="Calibri" w:hAnsi="Calibri" w:eastAsia="Malgun Gothic"/>
                <w:b w:val="0"/>
                <w:color w:val="0B2545"/>
                <w:sz w:val="17"/>
              </w:rPr>
              <w:t>삽입 위치, 수량, 사양 충족</w:t>
            </w:r>
          </w:p>
        </w:tc>
      </w:tr>
      <w:tr>
        <w:tc>
          <w:tcPr>
            <w:tcW w:type="dxa" w:w="550"/>
            <w:tcMar>
              <w:top w:w="80" w:type="dxa"/>
              <w:start w:w="120" w:type="dxa"/>
              <w:bottom w:w="80" w:type="dxa"/>
              <w:end w:w="120" w:type="dxa"/>
            </w:tcMar>
            <w:vAlign w:val="center"/>
            <w:tcBorders>
              <w:top w:val="single" w:sz="5" w:color="D0D5DD"/>
              <w:start w:val="single" w:sz="5" w:color="D0D5DD"/>
              <w:bottom w:val="single" w:sz="5" w:color="D0D5DD"/>
              <w:end w:val="single" w:sz="5" w:color="D0D5DD"/>
              <w:insideH w:val="single" w:sz="5" w:color="D0D5DD"/>
              <w:insideV w:val="single" w:sz="5" w:color="D0D5DD"/>
            </w:tcBorders>
          </w:tcPr>
          <w:p>
            <w:pPr>
              <w:keepLines/>
              <w:spacing w:before="0" w:after="0" w:line="264" w:lineRule="auto"/>
              <w:jc w:val="center"/>
            </w:pPr>
            <w:r>
              <w:rPr>
                <w:rFonts w:ascii="Calibri" w:hAnsi="Calibri" w:eastAsia="Malgun Gothic"/>
                <w:b w:val="0"/>
                <w:color w:val="0B2545"/>
                <w:sz w:val="17"/>
              </w:rPr>
              <w:t>8</w:t>
            </w:r>
          </w:p>
        </w:tc>
        <w:tc>
          <w:tcPr>
            <w:tcW w:type="dxa" w:w="2150"/>
            <w:tcMar>
              <w:top w:w="80" w:type="dxa"/>
              <w:start w:w="120" w:type="dxa"/>
              <w:bottom w:w="80" w:type="dxa"/>
              <w:end w:w="120" w:type="dxa"/>
            </w:tcMar>
            <w:vAlign w:val="center"/>
            <w:tcBorders>
              <w:top w:val="single" w:sz="5" w:color="D0D5DD"/>
              <w:start w:val="single" w:sz="5" w:color="D0D5DD"/>
              <w:bottom w:val="single" w:sz="5" w:color="D0D5DD"/>
              <w:end w:val="single" w:sz="5" w:color="D0D5DD"/>
              <w:insideH w:val="single" w:sz="5" w:color="D0D5DD"/>
              <w:insideV w:val="single" w:sz="5" w:color="D0D5DD"/>
            </w:tcBorders>
          </w:tcPr>
          <w:p>
            <w:pPr>
              <w:keepLines/>
              <w:spacing w:before="0" w:after="0" w:line="264" w:lineRule="auto"/>
            </w:pPr>
            <w:r>
              <w:rPr>
                <w:rFonts w:ascii="Calibri" w:hAnsi="Calibri" w:eastAsia="Malgun Gothic"/>
                <w:b w:val="0"/>
                <w:color w:val="0B2545"/>
                <w:sz w:val="17"/>
              </w:rPr>
              <w:t>환경·규제 대응</w:t>
            </w:r>
          </w:p>
        </w:tc>
        <w:tc>
          <w:tcPr>
            <w:tcW w:type="dxa" w:w="1450"/>
            <w:tcMar>
              <w:top w:w="80" w:type="dxa"/>
              <w:start w:w="120" w:type="dxa"/>
              <w:bottom w:w="80" w:type="dxa"/>
              <w:end w:w="120" w:type="dxa"/>
            </w:tcMar>
            <w:vAlign w:val="center"/>
            <w:tcBorders>
              <w:top w:val="single" w:sz="5" w:color="D0D5DD"/>
              <w:start w:val="single" w:sz="5" w:color="D0D5DD"/>
              <w:bottom w:val="single" w:sz="5" w:color="D0D5DD"/>
              <w:end w:val="single" w:sz="5" w:color="D0D5DD"/>
              <w:insideH w:val="single" w:sz="5" w:color="D0D5DD"/>
              <w:insideV w:val="single" w:sz="5" w:color="D0D5DD"/>
            </w:tcBorders>
          </w:tcPr>
          <w:p>
            <w:pPr>
              <w:keepLines/>
              <w:spacing w:before="0" w:after="0" w:line="264" w:lineRule="auto"/>
              <w:jc w:val="center"/>
            </w:pPr>
            <w:r>
              <w:rPr>
                <w:rFonts w:ascii="Calibri" w:hAnsi="Calibri" w:eastAsia="Malgun Gothic"/>
                <w:b w:val="0"/>
                <w:color w:val="0B2545"/>
                <w:sz w:val="17"/>
              </w:rPr>
              <w:t>MATERIAL</w:t>
            </w:r>
          </w:p>
        </w:tc>
        <w:tc>
          <w:tcPr>
            <w:tcW w:type="dxa" w:w="1750"/>
            <w:tcMar>
              <w:top w:w="80" w:type="dxa"/>
              <w:start w:w="120" w:type="dxa"/>
              <w:bottom w:w="80" w:type="dxa"/>
              <w:end w:w="120" w:type="dxa"/>
            </w:tcMar>
            <w:vAlign w:val="center"/>
            <w:tcBorders>
              <w:top w:val="single" w:sz="5" w:color="D0D5DD"/>
              <w:start w:val="single" w:sz="5" w:color="D0D5DD"/>
              <w:bottom w:val="single" w:sz="5" w:color="D0D5DD"/>
              <w:end w:val="single" w:sz="5" w:color="D0D5DD"/>
              <w:insideH w:val="single" w:sz="5" w:color="D0D5DD"/>
              <w:insideV w:val="single" w:sz="5" w:color="D0D5DD"/>
            </w:tcBorders>
          </w:tcPr>
          <w:p>
            <w:pPr>
              <w:keepLines/>
              <w:spacing w:before="0" w:after="0" w:line="264" w:lineRule="auto"/>
              <w:jc w:val="center"/>
            </w:pPr>
            <w:r>
              <w:rPr>
                <w:rFonts w:ascii="Calibri" w:hAnsi="Calibri" w:eastAsia="Malgun Gothic"/>
                <w:b w:val="0"/>
                <w:color w:val="0B2545"/>
                <w:sz w:val="17"/>
              </w:rPr>
              <w:t>REPLACE</w:t>
            </w:r>
          </w:p>
        </w:tc>
        <w:tc>
          <w:tcPr>
            <w:tcW w:type="dxa" w:w="3460"/>
            <w:tcMar>
              <w:top w:w="80" w:type="dxa"/>
              <w:start w:w="120" w:type="dxa"/>
              <w:bottom w:w="80" w:type="dxa"/>
              <w:end w:w="120" w:type="dxa"/>
            </w:tcMar>
            <w:vAlign w:val="center"/>
            <w:tcBorders>
              <w:top w:val="single" w:sz="5" w:color="D0D5DD"/>
              <w:start w:val="single" w:sz="5" w:color="D0D5DD"/>
              <w:bottom w:val="single" w:sz="5" w:color="D0D5DD"/>
              <w:end w:val="single" w:sz="5" w:color="D0D5DD"/>
              <w:insideH w:val="single" w:sz="5" w:color="D0D5DD"/>
              <w:insideV w:val="single" w:sz="5" w:color="D0D5DD"/>
            </w:tcBorders>
          </w:tcPr>
          <w:p>
            <w:pPr>
              <w:keepLines/>
              <w:spacing w:before="0" w:after="0" w:line="264" w:lineRule="auto"/>
            </w:pPr>
            <w:r>
              <w:rPr>
                <w:rFonts w:ascii="Calibri" w:hAnsi="Calibri" w:eastAsia="Malgun Gothic"/>
                <w:b w:val="0"/>
                <w:color w:val="0B2545"/>
                <w:sz w:val="17"/>
              </w:rPr>
              <w:t>규제 인증, 유효기간, 고객 요구</w:t>
            </w:r>
          </w:p>
        </w:tc>
      </w:tr>
      <w:tr>
        <w:tc>
          <w:tcPr>
            <w:tcW w:type="dxa" w:w="550"/>
            <w:tcMar>
              <w:top w:w="80" w:type="dxa"/>
              <w:start w:w="120" w:type="dxa"/>
              <w:bottom w:w="80" w:type="dxa"/>
              <w:end w:w="120" w:type="dxa"/>
            </w:tcMar>
            <w:vAlign w:val="center"/>
            <w:tcBorders>
              <w:top w:val="single" w:sz="5" w:color="D0D5DD"/>
              <w:start w:val="single" w:sz="5" w:color="D0D5DD"/>
              <w:bottom w:val="single" w:sz="5" w:color="D0D5DD"/>
              <w:end w:val="single" w:sz="5" w:color="D0D5DD"/>
              <w:insideH w:val="single" w:sz="5" w:color="D0D5DD"/>
              <w:insideV w:val="single" w:sz="5" w:color="D0D5DD"/>
            </w:tcBorders>
          </w:tcPr>
          <w:p>
            <w:pPr>
              <w:keepLines/>
              <w:spacing w:before="0" w:after="0" w:line="264" w:lineRule="auto"/>
              <w:jc w:val="center"/>
            </w:pPr>
            <w:r>
              <w:rPr>
                <w:rFonts w:ascii="Calibri" w:hAnsi="Calibri" w:eastAsia="Malgun Gothic"/>
                <w:b w:val="0"/>
                <w:color w:val="0B2545"/>
                <w:sz w:val="17"/>
              </w:rPr>
              <w:t>9</w:t>
            </w:r>
          </w:p>
        </w:tc>
        <w:tc>
          <w:tcPr>
            <w:tcW w:type="dxa" w:w="2150"/>
            <w:tcMar>
              <w:top w:w="80" w:type="dxa"/>
              <w:start w:w="120" w:type="dxa"/>
              <w:bottom w:w="80" w:type="dxa"/>
              <w:end w:w="120" w:type="dxa"/>
            </w:tcMar>
            <w:vAlign w:val="center"/>
            <w:tcBorders>
              <w:top w:val="single" w:sz="5" w:color="D0D5DD"/>
              <w:start w:val="single" w:sz="5" w:color="D0D5DD"/>
              <w:bottom w:val="single" w:sz="5" w:color="D0D5DD"/>
              <w:end w:val="single" w:sz="5" w:color="D0D5DD"/>
              <w:insideH w:val="single" w:sz="5" w:color="D0D5DD"/>
              <w:insideV w:val="single" w:sz="5" w:color="D0D5DD"/>
            </w:tcBorders>
          </w:tcPr>
          <w:p>
            <w:pPr>
              <w:keepLines/>
              <w:spacing w:before="0" w:after="0" w:line="264" w:lineRule="auto"/>
            </w:pPr>
            <w:r>
              <w:rPr>
                <w:rFonts w:ascii="Calibri" w:hAnsi="Calibri" w:eastAsia="Malgun Gothic"/>
                <w:b w:val="0"/>
                <w:color w:val="0B2545"/>
                <w:sz w:val="17"/>
              </w:rPr>
              <w:t>자재 공용화·공정 개선</w:t>
            </w:r>
          </w:p>
        </w:tc>
        <w:tc>
          <w:tcPr>
            <w:tcW w:type="dxa" w:w="1450"/>
            <w:tcMar>
              <w:top w:w="80" w:type="dxa"/>
              <w:start w:w="120" w:type="dxa"/>
              <w:bottom w:w="80" w:type="dxa"/>
              <w:end w:w="120" w:type="dxa"/>
            </w:tcMar>
            <w:vAlign w:val="center"/>
            <w:tcBorders>
              <w:top w:val="single" w:sz="5" w:color="D0D5DD"/>
              <w:start w:val="single" w:sz="5" w:color="D0D5DD"/>
              <w:bottom w:val="single" w:sz="5" w:color="D0D5DD"/>
              <w:end w:val="single" w:sz="5" w:color="D0D5DD"/>
              <w:insideH w:val="single" w:sz="5" w:color="D0D5DD"/>
              <w:insideV w:val="single" w:sz="5" w:color="D0D5DD"/>
            </w:tcBorders>
          </w:tcPr>
          <w:p>
            <w:pPr>
              <w:keepLines/>
              <w:spacing w:before="0" w:after="0" w:line="264" w:lineRule="auto"/>
              <w:jc w:val="center"/>
            </w:pPr>
            <w:r>
              <w:rPr>
                <w:rFonts w:ascii="Calibri" w:hAnsi="Calibri" w:eastAsia="Malgun Gothic"/>
                <w:b w:val="0"/>
                <w:color w:val="0B2545"/>
                <w:sz w:val="17"/>
              </w:rPr>
              <w:t>MATERIAL</w:t>
            </w:r>
          </w:p>
        </w:tc>
        <w:tc>
          <w:tcPr>
            <w:tcW w:type="dxa" w:w="1750"/>
            <w:tcMar>
              <w:top w:w="80" w:type="dxa"/>
              <w:start w:w="120" w:type="dxa"/>
              <w:bottom w:w="80" w:type="dxa"/>
              <w:end w:w="120" w:type="dxa"/>
            </w:tcMar>
            <w:vAlign w:val="center"/>
            <w:tcBorders>
              <w:top w:val="single" w:sz="5" w:color="D0D5DD"/>
              <w:start w:val="single" w:sz="5" w:color="D0D5DD"/>
              <w:bottom w:val="single" w:sz="5" w:color="D0D5DD"/>
              <w:end w:val="single" w:sz="5" w:color="D0D5DD"/>
              <w:insideH w:val="single" w:sz="5" w:color="D0D5DD"/>
              <w:insideV w:val="single" w:sz="5" w:color="D0D5DD"/>
            </w:tcBorders>
          </w:tcPr>
          <w:p>
            <w:pPr>
              <w:keepLines/>
              <w:spacing w:before="0" w:after="0" w:line="264" w:lineRule="auto"/>
              <w:jc w:val="center"/>
            </w:pPr>
            <w:r>
              <w:rPr>
                <w:rFonts w:ascii="Calibri" w:hAnsi="Calibri" w:eastAsia="Malgun Gothic"/>
                <w:b w:val="0"/>
                <w:color w:val="0B2545"/>
                <w:sz w:val="17"/>
              </w:rPr>
              <w:t>DELETE/REPLACE</w:t>
            </w:r>
          </w:p>
        </w:tc>
        <w:tc>
          <w:tcPr>
            <w:tcW w:type="dxa" w:w="3460"/>
            <w:tcMar>
              <w:top w:w="80" w:type="dxa"/>
              <w:start w:w="120" w:type="dxa"/>
              <w:bottom w:w="80" w:type="dxa"/>
              <w:end w:w="120" w:type="dxa"/>
            </w:tcMar>
            <w:vAlign w:val="center"/>
            <w:tcBorders>
              <w:top w:val="single" w:sz="5" w:color="D0D5DD"/>
              <w:start w:val="single" w:sz="5" w:color="D0D5DD"/>
              <w:bottom w:val="single" w:sz="5" w:color="D0D5DD"/>
              <w:end w:val="single" w:sz="5" w:color="D0D5DD"/>
              <w:insideH w:val="single" w:sz="5" w:color="D0D5DD"/>
              <w:insideV w:val="single" w:sz="5" w:color="D0D5DD"/>
            </w:tcBorders>
          </w:tcPr>
          <w:p>
            <w:pPr>
              <w:keepLines/>
              <w:spacing w:before="0" w:after="0" w:line="264" w:lineRule="auto"/>
            </w:pPr>
            <w:r>
              <w:rPr>
                <w:rFonts w:ascii="Calibri" w:hAnsi="Calibri" w:eastAsia="Malgun Gothic"/>
                <w:b w:val="0"/>
                <w:color w:val="0B2545"/>
                <w:sz w:val="17"/>
              </w:rPr>
              <w:t>기능 영향, 공용화율, 공정·원가</w:t>
            </w:r>
          </w:p>
        </w:tc>
      </w:tr>
      <w:tr>
        <w:tc>
          <w:tcPr>
            <w:tcW w:type="dxa" w:w="550"/>
            <w:tcMar>
              <w:top w:w="80" w:type="dxa"/>
              <w:start w:w="120" w:type="dxa"/>
              <w:bottom w:w="80" w:type="dxa"/>
              <w:end w:w="120" w:type="dxa"/>
            </w:tcMar>
            <w:vAlign w:val="center"/>
            <w:tcBorders>
              <w:top w:val="single" w:sz="5" w:color="D0D5DD"/>
              <w:start w:val="single" w:sz="5" w:color="D0D5DD"/>
              <w:bottom w:val="single" w:sz="5" w:color="D0D5DD"/>
              <w:end w:val="single" w:sz="5" w:color="D0D5DD"/>
              <w:insideH w:val="single" w:sz="5" w:color="D0D5DD"/>
              <w:insideV w:val="single" w:sz="5" w:color="D0D5DD"/>
            </w:tcBorders>
          </w:tcPr>
          <w:p>
            <w:pPr>
              <w:keepLines/>
              <w:spacing w:before="0" w:after="0" w:line="264" w:lineRule="auto"/>
              <w:jc w:val="center"/>
            </w:pPr>
            <w:r>
              <w:rPr>
                <w:rFonts w:ascii="Calibri" w:hAnsi="Calibri" w:eastAsia="Malgun Gothic"/>
                <w:b w:val="0"/>
                <w:color w:val="0B2545"/>
                <w:sz w:val="17"/>
              </w:rPr>
              <w:t>10</w:t>
            </w:r>
          </w:p>
        </w:tc>
        <w:tc>
          <w:tcPr>
            <w:tcW w:type="dxa" w:w="2150"/>
            <w:tcMar>
              <w:top w:w="80" w:type="dxa"/>
              <w:start w:w="120" w:type="dxa"/>
              <w:bottom w:w="80" w:type="dxa"/>
              <w:end w:w="120" w:type="dxa"/>
            </w:tcMar>
            <w:vAlign w:val="center"/>
            <w:tcBorders>
              <w:top w:val="single" w:sz="5" w:color="D0D5DD"/>
              <w:start w:val="single" w:sz="5" w:color="D0D5DD"/>
              <w:bottom w:val="single" w:sz="5" w:color="D0D5DD"/>
              <w:end w:val="single" w:sz="5" w:color="D0D5DD"/>
              <w:insideH w:val="single" w:sz="5" w:color="D0D5DD"/>
              <w:insideV w:val="single" w:sz="5" w:color="D0D5DD"/>
            </w:tcBorders>
          </w:tcPr>
          <w:p>
            <w:pPr>
              <w:keepLines/>
              <w:spacing w:before="0" w:after="0" w:line="264" w:lineRule="auto"/>
            </w:pPr>
            <w:r>
              <w:rPr>
                <w:rFonts w:ascii="Calibri" w:hAnsi="Calibri" w:eastAsia="Malgun Gothic"/>
                <w:b w:val="0"/>
                <w:color w:val="0B2545"/>
                <w:sz w:val="17"/>
              </w:rPr>
              <w:t>공용 ASSY 핵심 변경</w:t>
            </w:r>
          </w:p>
        </w:tc>
        <w:tc>
          <w:tcPr>
            <w:tcW w:type="dxa" w:w="1450"/>
            <w:tcMar>
              <w:top w:w="80" w:type="dxa"/>
              <w:start w:w="120" w:type="dxa"/>
              <w:bottom w:w="80" w:type="dxa"/>
              <w:end w:w="120" w:type="dxa"/>
            </w:tcMar>
            <w:vAlign w:val="center"/>
            <w:tcBorders>
              <w:top w:val="single" w:sz="5" w:color="D0D5DD"/>
              <w:start w:val="single" w:sz="5" w:color="D0D5DD"/>
              <w:bottom w:val="single" w:sz="5" w:color="D0D5DD"/>
              <w:end w:val="single" w:sz="5" w:color="D0D5DD"/>
              <w:insideH w:val="single" w:sz="5" w:color="D0D5DD"/>
              <w:insideV w:val="single" w:sz="5" w:color="D0D5DD"/>
            </w:tcBorders>
          </w:tcPr>
          <w:p>
            <w:pPr>
              <w:keepLines/>
              <w:spacing w:before="0" w:after="0" w:line="264" w:lineRule="auto"/>
              <w:jc w:val="center"/>
            </w:pPr>
            <w:r>
              <w:rPr>
                <w:rFonts w:ascii="Calibri" w:hAnsi="Calibri" w:eastAsia="Malgun Gothic"/>
                <w:b w:val="0"/>
                <w:color w:val="0B2545"/>
                <w:sz w:val="17"/>
              </w:rPr>
              <w:t>ASSY</w:t>
            </w:r>
          </w:p>
        </w:tc>
        <w:tc>
          <w:tcPr>
            <w:tcW w:type="dxa" w:w="1750"/>
            <w:tcMar>
              <w:top w:w="80" w:type="dxa"/>
              <w:start w:w="120" w:type="dxa"/>
              <w:bottom w:w="80" w:type="dxa"/>
              <w:end w:w="120" w:type="dxa"/>
            </w:tcMar>
            <w:vAlign w:val="center"/>
            <w:tcBorders>
              <w:top w:val="single" w:sz="5" w:color="D0D5DD"/>
              <w:start w:val="single" w:sz="5" w:color="D0D5DD"/>
              <w:bottom w:val="single" w:sz="5" w:color="D0D5DD"/>
              <w:end w:val="single" w:sz="5" w:color="D0D5DD"/>
              <w:insideH w:val="single" w:sz="5" w:color="D0D5DD"/>
              <w:insideV w:val="single" w:sz="5" w:color="D0D5DD"/>
            </w:tcBorders>
          </w:tcPr>
          <w:p>
            <w:pPr>
              <w:keepLines/>
              <w:spacing w:before="0" w:after="0" w:line="264" w:lineRule="auto"/>
              <w:jc w:val="center"/>
            </w:pPr>
            <w:r>
              <w:rPr>
                <w:rFonts w:ascii="Calibri" w:hAnsi="Calibri" w:eastAsia="Malgun Gothic"/>
                <w:b w:val="0"/>
                <w:color w:val="0B2545"/>
                <w:sz w:val="17"/>
              </w:rPr>
              <w:t>QUANTITY_CHANGE/ASSY REPLACE</w:t>
            </w:r>
          </w:p>
        </w:tc>
        <w:tc>
          <w:tcPr>
            <w:tcW w:type="dxa" w:w="3460"/>
            <w:tcMar>
              <w:top w:w="80" w:type="dxa"/>
              <w:start w:w="120" w:type="dxa"/>
              <w:bottom w:w="80" w:type="dxa"/>
              <w:end w:w="120" w:type="dxa"/>
            </w:tcMar>
            <w:vAlign w:val="center"/>
            <w:tcBorders>
              <w:top w:val="single" w:sz="5" w:color="D0D5DD"/>
              <w:start w:val="single" w:sz="5" w:color="D0D5DD"/>
              <w:bottom w:val="single" w:sz="5" w:color="D0D5DD"/>
              <w:end w:val="single" w:sz="5" w:color="D0D5DD"/>
              <w:insideH w:val="single" w:sz="5" w:color="D0D5DD"/>
              <w:insideV w:val="single" w:sz="5" w:color="D0D5DD"/>
            </w:tcBorders>
          </w:tcPr>
          <w:p>
            <w:pPr>
              <w:keepLines/>
              <w:spacing w:before="0" w:after="0" w:line="264" w:lineRule="auto"/>
            </w:pPr>
            <w:r>
              <w:rPr>
                <w:rFonts w:ascii="Calibri" w:hAnsi="Calibri" w:eastAsia="Malgun Gothic"/>
                <w:b w:val="0"/>
                <w:color w:val="0B2545"/>
                <w:sz w:val="17"/>
              </w:rPr>
              <w:t>영향 모델, 구조, 원가·재고</w:t>
            </w:r>
          </w:p>
        </w:tc>
      </w:tr>
    </w:tbl>
    <w:p>
      <w:pPr>
        <w:spacing w:after="40"/>
      </w:pPr>
    </w:p>
    <w:p>
      <w:r>
        <w:rPr>
          <w:rFonts w:ascii="Calibri" w:hAnsi="Calibri" w:eastAsia="Malgun Gothic"/>
          <w:color w:val="202124"/>
          <w:sz w:val="22"/>
        </w:rPr>
        <w:t>샘플데이터 원칙:</w:t>
      </w:r>
    </w:p>
    <w:p>
      <w:pPr>
        <w:pStyle w:val="ListBullet"/>
      </w:pPr>
      <w:r>
        <w:rPr>
          <w:rFonts w:ascii="Calibri" w:hAnsi="Calibri" w:eastAsia="Malgun Gothic"/>
          <w:color w:val="202124"/>
          <w:sz w:val="22"/>
        </w:rPr>
        <w:t>현재 제품·자재 코드 체계와 동일한 형식의 가상 코드 사용</w:t>
      </w:r>
    </w:p>
    <w:p>
      <w:pPr>
        <w:pStyle w:val="ListBullet"/>
      </w:pPr>
      <w:r>
        <w:rPr>
          <w:rFonts w:ascii="Calibri" w:hAnsi="Calibri" w:eastAsia="Malgun Gothic"/>
          <w:color w:val="202124"/>
          <w:sz w:val="22"/>
        </w:rPr>
        <w:t>REPLACE·ADD 사례마다 5개 이상 후보 구성</w:t>
      </w:r>
    </w:p>
    <w:p>
      <w:pPr>
        <w:pStyle w:val="ListBullet"/>
      </w:pPr>
      <w:r>
        <w:rPr>
          <w:rFonts w:ascii="Calibri" w:hAnsi="Calibri" w:eastAsia="Malgun Gothic"/>
          <w:color w:val="202124"/>
          <w:sz w:val="22"/>
        </w:rPr>
        <w:t>여러 사례에서 현실적인 공통 후보와 공급사 데이터를 재사용</w:t>
      </w:r>
    </w:p>
    <w:p>
      <w:pPr>
        <w:pStyle w:val="ListBullet"/>
      </w:pPr>
      <w:r>
        <w:rPr>
          <w:rFonts w:ascii="Calibri" w:hAnsi="Calibri" w:eastAsia="Malgun Gothic"/>
          <w:color w:val="202124"/>
          <w:sz w:val="22"/>
        </w:rPr>
        <w:t>PASS, CONDITIONAL, FAIL이 모두 발생하도록 속성값 설계</w:t>
      </w:r>
    </w:p>
    <w:p>
      <w:pPr>
        <w:pStyle w:val="ListBullet"/>
      </w:pPr>
      <w:r>
        <w:rPr>
          <w:rFonts w:ascii="Calibri" w:hAnsi="Calibri" w:eastAsia="Malgun Gothic"/>
          <w:color w:val="202124"/>
          <w:sz w:val="22"/>
        </w:rPr>
        <w:t>공장 2개, 공장별 창고 2개, 창고별 Location 2개 구성</w:t>
      </w:r>
    </w:p>
    <w:p>
      <w:pPr>
        <w:pStyle w:val="ListBullet"/>
      </w:pPr>
      <w:r>
        <w:rPr>
          <w:rFonts w:ascii="Calibri" w:hAnsi="Calibri" w:eastAsia="Malgun Gothic"/>
          <w:color w:val="202124"/>
          <w:sz w:val="22"/>
        </w:rPr>
        <w:t>생산계획 기준과 사용자 요청수량 기준 결과를 모두 검증</w:t>
      </w:r>
    </w:p>
    <w:p>
      <w:pPr>
        <w:pStyle w:val="ListBullet"/>
      </w:pPr>
      <w:r>
        <w:rPr>
          <w:rFonts w:ascii="Calibri" w:hAnsi="Calibri" w:eastAsia="Malgun Gothic"/>
          <w:color w:val="202124"/>
          <w:sz w:val="22"/>
        </w:rPr>
        <w:t>사례별 예상 후보 순위, 상태, 점수, 등급과 Rule 근거를 사전 정의</w:t>
      </w:r>
    </w:p>
    <w:p>
      <w:r>
        <w:rPr>
          <w:rFonts w:ascii="Calibri" w:hAnsi="Calibri" w:eastAsia="Malgun Gothic"/>
          <w:color w:val="202124"/>
          <w:sz w:val="22"/>
        </w:rPr>
        <w:t>개발 전에 10개 사례의 데이터·후보·Rule·예상 결과표를 사용자와 먼저 검토한다. 확인된 데이터만 기존 DB에 반영한다.</w:t>
      </w:r>
    </w:p>
    <w:p>
      <w:pPr>
        <w:pStyle w:val="Heading1"/>
        <w:keepNext/>
      </w:pPr>
      <w:r>
        <w:t>14. Agent 채팅과 화면 구성</w:t>
      </w:r>
    </w:p>
    <w:p>
      <w:r>
        <w:rPr>
          <w:rFonts w:ascii="Calibri" w:hAnsi="Calibri" w:eastAsia="Malgun Gothic"/>
          <w:color w:val="202124"/>
          <w:sz w:val="22"/>
        </w:rPr>
        <w:t>주 실행 화면은 Agent 채팅이다. 사용자는 채팅에서 요청, 후보 확인, 추가정보 입력, 후보 선택, 두 번의 승인과 최종 결과 확인을 수행한다.</w:t>
      </w:r>
    </w:p>
    <w:p>
      <w:r>
        <w:rPr>
          <w:rFonts w:ascii="Calibri" w:hAnsi="Calibri" w:eastAsia="Malgun Gothic"/>
          <w:color w:val="202124"/>
          <w:sz w:val="22"/>
        </w:rPr>
        <w:t>별도 메뉴:</w:t>
      </w:r>
    </w:p>
    <w:p>
      <w:pPr>
        <w:pStyle w:val="ListBullet"/>
      </w:pPr>
      <w:r>
        <w:rPr>
          <w:rFonts w:ascii="Calibri" w:hAnsi="Calibri" w:eastAsia="Malgun Gothic"/>
          <w:color w:val="202124"/>
          <w:sz w:val="22"/>
        </w:rPr>
        <w:t>Rule 조회·추가·Revision·비활성화</w:t>
      </w:r>
    </w:p>
    <w:p>
      <w:pPr>
        <w:pStyle w:val="ListBullet"/>
      </w:pPr>
      <w:r>
        <w:rPr>
          <w:rFonts w:ascii="Calibri" w:hAnsi="Calibri" w:eastAsia="Malgun Gothic"/>
          <w:color w:val="202124"/>
          <w:sz w:val="22"/>
        </w:rPr>
        <w:t>설계변경 요청·판정·승인·Apply 이력</w:t>
      </w:r>
    </w:p>
    <w:p>
      <w:pPr>
        <w:pStyle w:val="ListBullet"/>
      </w:pPr>
      <w:r>
        <w:rPr>
          <w:rFonts w:ascii="Calibri" w:hAnsi="Calibri" w:eastAsia="Malgun Gothic"/>
          <w:color w:val="202124"/>
          <w:sz w:val="22"/>
        </w:rPr>
        <w:t>적용 후 성과평가 입력 및 30·60·90일 추적</w:t>
      </w:r>
    </w:p>
    <w:p>
      <w:r>
        <w:rPr>
          <w:rFonts w:ascii="Calibri" w:hAnsi="Calibri" w:eastAsia="Malgun Gothic"/>
          <w:color w:val="202124"/>
          <w:sz w:val="22"/>
        </w:rPr>
        <w:t>제품이나 자재 검색 결과가 여러 개인 경우 Agent가 임의 선택하지 않는다. 코드, 이름과 주요 속성을 보여주고 사용자 선택을 받은 후 분석을 계속한다.</w:t>
      </w:r>
    </w:p>
    <w:p>
      <w:pPr>
        <w:pStyle w:val="Heading1"/>
        <w:keepNext/>
      </w:pPr>
      <w:r>
        <w:t>15. 학습 데이터 수집</w:t>
      </w:r>
    </w:p>
    <w:p>
      <w:pPr>
        <w:pStyle w:val="Heading2"/>
        <w:keepNext/>
      </w:pPr>
      <w:r>
        <w:t>15.1 수집 범위</w:t>
      </w:r>
    </w:p>
    <w:p>
      <w:pPr>
        <w:pStyle w:val="ListBullet"/>
      </w:pPr>
      <w:r>
        <w:rPr>
          <w:rFonts w:ascii="Calibri" w:hAnsi="Calibri" w:eastAsia="Malgun Gothic"/>
          <w:color w:val="202124"/>
          <w:sz w:val="22"/>
        </w:rPr>
        <w:t>자연어 요청 원문과 정규화 결과</w:t>
      </w:r>
    </w:p>
    <w:p>
      <w:pPr>
        <w:pStyle w:val="ListBullet"/>
      </w:pPr>
      <w:r>
        <w:rPr>
          <w:rFonts w:ascii="Calibri" w:hAnsi="Calibri" w:eastAsia="Malgun Gothic"/>
          <w:color w:val="202124"/>
          <w:sz w:val="22"/>
        </w:rPr>
        <w:t>식별된 제품, BOM, 기존 자재, Action과 변경 사유</w:t>
      </w:r>
    </w:p>
    <w:p>
      <w:pPr>
        <w:pStyle w:val="ListBullet"/>
      </w:pPr>
      <w:r>
        <w:rPr>
          <w:rFonts w:ascii="Calibri" w:hAnsi="Calibri" w:eastAsia="Malgun Gothic"/>
          <w:color w:val="202124"/>
          <w:sz w:val="22"/>
        </w:rPr>
        <w:t>탐색 후보 전체와 공급사 조합</w:t>
      </w:r>
    </w:p>
    <w:p>
      <w:pPr>
        <w:pStyle w:val="ListBullet"/>
      </w:pPr>
      <w:r>
        <w:rPr>
          <w:rFonts w:ascii="Calibri" w:hAnsi="Calibri" w:eastAsia="Malgun Gothic"/>
          <w:color w:val="202124"/>
          <w:sz w:val="22"/>
        </w:rPr>
        <w:t>입력 속성, Rule Revision, Gate 결과와 세부 점수</w:t>
      </w:r>
    </w:p>
    <w:p>
      <w:pPr>
        <w:pStyle w:val="ListBullet"/>
      </w:pPr>
      <w:r>
        <w:rPr>
          <w:rFonts w:ascii="Calibri" w:hAnsi="Calibri" w:eastAsia="Malgun Gothic"/>
          <w:color w:val="202124"/>
          <w:sz w:val="22"/>
        </w:rPr>
        <w:t>최종 상태, 총점, 등급과 순위</w:t>
      </w:r>
    </w:p>
    <w:p>
      <w:pPr>
        <w:pStyle w:val="ListBullet"/>
      </w:pPr>
      <w:r>
        <w:rPr>
          <w:rFonts w:ascii="Calibri" w:hAnsi="Calibri" w:eastAsia="Malgun Gothic"/>
          <w:color w:val="202124"/>
          <w:sz w:val="22"/>
        </w:rPr>
        <w:t>Agent 계획, Tool 실행과 설명</w:t>
      </w:r>
    </w:p>
    <w:p>
      <w:pPr>
        <w:pStyle w:val="ListBullet"/>
      </w:pPr>
      <w:r>
        <w:rPr>
          <w:rFonts w:ascii="Calibri" w:hAnsi="Calibri" w:eastAsia="Malgun Gothic"/>
          <w:color w:val="202124"/>
          <w:sz w:val="22"/>
        </w:rPr>
        <w:t>후보 선택·반려, 추가 데이터 및 예외승인 사유</w:t>
      </w:r>
    </w:p>
    <w:p>
      <w:pPr>
        <w:pStyle w:val="ListBullet"/>
      </w:pPr>
      <w:r>
        <w:rPr>
          <w:rFonts w:ascii="Calibri" w:hAnsi="Calibri" w:eastAsia="Malgun Gothic"/>
          <w:color w:val="202124"/>
          <w:sz w:val="22"/>
        </w:rPr>
        <w:t>Preview, 최종 승인, Apply·Rollback 결과</w:t>
      </w:r>
    </w:p>
    <w:p>
      <w:pPr>
        <w:pStyle w:val="ListBullet"/>
      </w:pPr>
      <w:r>
        <w:rPr>
          <w:rFonts w:ascii="Calibri" w:hAnsi="Calibri" w:eastAsia="Malgun Gothic"/>
          <w:color w:val="202124"/>
          <w:sz w:val="22"/>
        </w:rPr>
        <w:t>적용 후 원가·납기·재고·품질·불량·공급 안정성</w:t>
      </w:r>
    </w:p>
    <w:p>
      <w:pPr>
        <w:pStyle w:val="ListBullet"/>
      </w:pPr>
      <w:r>
        <w:rPr>
          <w:rFonts w:ascii="Calibri" w:hAnsi="Calibri" w:eastAsia="Malgun Gothic"/>
          <w:color w:val="202124"/>
          <w:sz w:val="22"/>
        </w:rPr>
        <w:t>30·60·90일 사용자 사후평가</w:t>
      </w:r>
    </w:p>
    <w:p>
      <w:r>
        <w:rPr>
          <w:rFonts w:ascii="Calibri" w:hAnsi="Calibri" w:eastAsia="Malgun Gothic"/>
          <w:color w:val="202124"/>
          <w:sz w:val="22"/>
        </w:rPr>
        <w:t>성공 사례만 저장하지 않는다. 반려, CONDITIONAL, FAIL과 Rollback 사례도 학습과 오류 분석에 중요하므로 함께 보존한다.</w:t>
      </w:r>
    </w:p>
    <w:p>
      <w:pPr>
        <w:pStyle w:val="Heading2"/>
        <w:keepNext/>
      </w:pPr>
      <w:r>
        <w:t>15.2 저장과 Export</w:t>
      </w:r>
    </w:p>
    <w:p>
      <w:r>
        <w:rPr>
          <w:rFonts w:ascii="Calibri" w:hAnsi="Calibri" w:eastAsia="Malgun Gothic"/>
          <w:color w:val="202124"/>
          <w:sz w:val="22"/>
        </w:rPr>
        <w:t>원본 이력은 정규화된 SQLite 테이블에 변경 불가능한 형태로 누적한다. 후속 학습 파이프라인은 선택된 기간과 품질 기준에 따라 JSONL을 생성한다.</w:t>
      </w:r>
    </w:p>
    <w:p>
      <w:r>
        <w:rPr>
          <w:rFonts w:ascii="Calibri" w:hAnsi="Calibri" w:eastAsia="Malgun Gothic"/>
          <w:color w:val="202124"/>
          <w:sz w:val="22"/>
        </w:rPr>
        <w:t>JSONL 개념 구조:</w:t>
      </w:r>
    </w:p>
    <w:p>
      <w:pPr>
        <w:pStyle w:val="CodeBlock"/>
        <w:keepLines/>
      </w:pPr>
      <w:r>
        <w:rPr>
          <w:rFonts w:ascii="Consolas" w:hAnsi="Consolas" w:eastAsia="Malgun Gothic"/>
          <w:color w:val="0B2545"/>
          <w:sz w:val="18"/>
        </w:rPr>
        <w:t>{</w:t>
        <w:br/>
        <w:t xml:space="preserve">  "input": {</w:t>
        <w:br/>
        <w:t xml:space="preserve">    "request": "자연어 요청",</w:t>
        <w:br/>
        <w:t xml:space="preserve">    "bom_context": {},</w:t>
        <w:br/>
        <w:t xml:space="preserve">    "candidate_context": [],</w:t>
        <w:br/>
        <w:t xml:space="preserve">    "effective_date": "YYYY-MM-DD",</w:t>
        <w:br/>
        <w:t xml:space="preserve">    "demand": {}</w:t>
        <w:br/>
        <w:t xml:space="preserve">  },</w:t>
        <w:br/>
        <w:t xml:space="preserve">  "expected": {</w:t>
        <w:br/>
        <w:t xml:space="preserve">    "reasons": [],</w:t>
        <w:br/>
        <w:t xml:space="preserve">    "actions": [],</w:t>
        <w:br/>
        <w:t xml:space="preserve">    "candidate_ranking": [],</w:t>
        <w:br/>
        <w:t xml:space="preserve">    "decision": "PASS|CONDITIONAL|FAIL",</w:t>
        <w:br/>
        <w:t xml:space="preserve">    "evidence": []</w:t>
        <w:br/>
        <w:t xml:space="preserve">  },</w:t>
        <w:br/>
        <w:t xml:space="preserve">  "feedback": {</w:t>
        <w:br/>
        <w:t xml:space="preserve">    "selected_candidate": {},</w:t>
        <w:br/>
        <w:t xml:space="preserve">    "approval": {},</w:t>
        <w:br/>
        <w:t xml:space="preserve">    "apply_result": {},</w:t>
        <w:br/>
        <w:t xml:space="preserve">    "post_apply_outcome": {}</w:t>
        <w:br/>
        <w:t xml:space="preserve">  }</w:t>
        <w:br/>
        <w:t>}</w:t>
      </w:r>
    </w:p>
    <w:p>
      <w:pPr>
        <w:pStyle w:val="Heading1"/>
        <w:keepNext/>
      </w:pPr>
      <w:r>
        <w:t>16. Phase3 이후 LLM 추론학습 계획</w:t>
      </w:r>
    </w:p>
    <w:p>
      <w:pPr>
        <w:pStyle w:val="Heading2"/>
        <w:keepNext/>
      </w:pPr>
      <w:r>
        <w:t>16.1 최종 목표</w:t>
      </w:r>
    </w:p>
    <w:p>
      <w:r>
        <w:rPr>
          <w:rFonts w:ascii="Calibri" w:hAnsi="Calibri" w:eastAsia="Malgun Gothic"/>
          <w:color w:val="202124"/>
          <w:sz w:val="22"/>
        </w:rPr>
        <w:t>축적된 설계변경 데이터를 학습한 LLM이 기존 Rule을 직접 참고하지 않고 후보 탐색, 속성 비교, 설계변경 분석, 적합성 검증, 순위와 근거 생성을 수행한다.</w:t>
      </w:r>
    </w:p>
    <w:p>
      <w:pPr>
        <w:pStyle w:val="Heading2"/>
        <w:keepNext/>
      </w:pPr>
      <w:r>
        <w:t>16.2 정답 구성</w:t>
      </w:r>
    </w:p>
    <w:p>
      <w:r>
        <w:rPr>
          <w:rFonts w:ascii="Calibri" w:hAnsi="Calibri" w:eastAsia="Malgun Gothic"/>
          <w:color w:val="202124"/>
          <w:sz w:val="22"/>
        </w:rPr>
        <w:t>정답은 Rule 결과만 그대로 복제하지 않는다. 다음을 함께 결합한다.</w:t>
      </w:r>
    </w:p>
    <w:p>
      <w:pPr>
        <w:pStyle w:val="ListBullet"/>
      </w:pPr>
      <w:r>
        <w:rPr>
          <w:rFonts w:ascii="Calibri" w:hAnsi="Calibri" w:eastAsia="Malgun Gothic"/>
          <w:color w:val="202124"/>
          <w:sz w:val="22"/>
        </w:rPr>
        <w:t>당시 Rule 판정과 세부 근거</w:t>
      </w:r>
    </w:p>
    <w:p>
      <w:pPr>
        <w:pStyle w:val="ListBullet"/>
      </w:pPr>
      <w:r>
        <w:rPr>
          <w:rFonts w:ascii="Calibri" w:hAnsi="Calibri" w:eastAsia="Malgun Gothic"/>
          <w:color w:val="202124"/>
          <w:sz w:val="22"/>
        </w:rPr>
        <w:t>사용자의 후보 선택·반려와 예외승인 사유</w:t>
      </w:r>
    </w:p>
    <w:p>
      <w:pPr>
        <w:pStyle w:val="ListBullet"/>
      </w:pPr>
      <w:r>
        <w:rPr>
          <w:rFonts w:ascii="Calibri" w:hAnsi="Calibri" w:eastAsia="Malgun Gothic"/>
          <w:color w:val="202124"/>
          <w:sz w:val="22"/>
        </w:rPr>
        <w:t>실제 Apply 성공·Rollback 결과</w:t>
      </w:r>
    </w:p>
    <w:p>
      <w:pPr>
        <w:pStyle w:val="ListBullet"/>
      </w:pPr>
      <w:r>
        <w:rPr>
          <w:rFonts w:ascii="Calibri" w:hAnsi="Calibri" w:eastAsia="Malgun Gothic"/>
          <w:color w:val="202124"/>
          <w:sz w:val="22"/>
        </w:rPr>
        <w:t>적용 후 30·60·90일 성과</w:t>
      </w:r>
    </w:p>
    <w:p>
      <w:pPr>
        <w:pStyle w:val="ListBullet"/>
      </w:pPr>
      <w:r>
        <w:rPr>
          <w:rFonts w:ascii="Calibri" w:hAnsi="Calibri" w:eastAsia="Malgun Gothic"/>
          <w:color w:val="202124"/>
          <w:sz w:val="22"/>
        </w:rPr>
        <w:t>사용자 사후평가</w:t>
      </w:r>
    </w:p>
    <w:p>
      <w:r>
        <w:rPr>
          <w:rFonts w:ascii="Calibri" w:hAnsi="Calibri" w:eastAsia="Malgun Gothic"/>
          <w:color w:val="202124"/>
          <w:sz w:val="22"/>
        </w:rPr>
        <w:t>Rule이 통과시킨 후보라도 실제 품질이나 공급 성과가 나빴다면 부정적 학습 신호로 반영한다. 사용자가 선택하지 않은 후보도 당시 평가와 비교 가능한 Negative Candidate로 보존한다.</w:t>
      </w:r>
    </w:p>
    <w:p>
      <w:pPr>
        <w:pStyle w:val="Heading2"/>
        <w:keepNext/>
      </w:pPr>
      <w:r>
        <w:t>16.3 학습 단계</w:t>
      </w:r>
    </w:p>
    <w:p>
      <w:pPr>
        <w:pStyle w:val="ListNumber"/>
      </w:pPr>
      <w:r>
        <w:rPr>
          <w:rFonts w:ascii="Calibri" w:hAnsi="Calibri" w:eastAsia="Malgun Gothic"/>
          <w:color w:val="202124"/>
          <w:sz w:val="22"/>
        </w:rPr>
        <w:t>데이터 품질 점검, 중복 제거와 식별정보 처리</w:t>
      </w:r>
    </w:p>
    <w:p>
      <w:pPr>
        <w:pStyle w:val="ListNumber"/>
      </w:pPr>
      <w:r>
        <w:rPr>
          <w:rFonts w:ascii="Calibri" w:hAnsi="Calibri" w:eastAsia="Malgun Gothic"/>
          <w:color w:val="202124"/>
          <w:sz w:val="22"/>
        </w:rPr>
        <w:t>요청·후보·판정·실제 성과 연결 및 Label 생성</w:t>
      </w:r>
    </w:p>
    <w:p>
      <w:pPr>
        <w:pStyle w:val="ListNumber"/>
      </w:pPr>
      <w:r>
        <w:rPr>
          <w:rFonts w:ascii="Calibri" w:hAnsi="Calibri" w:eastAsia="Malgun Gothic"/>
          <w:color w:val="202124"/>
          <w:sz w:val="22"/>
        </w:rPr>
        <w:t>시간과 모델 계열을 고려한 Train·Validation·Test 분리</w:t>
      </w:r>
    </w:p>
    <w:p>
      <w:pPr>
        <w:pStyle w:val="ListNumber"/>
      </w:pPr>
      <w:r>
        <w:rPr>
          <w:rFonts w:ascii="Calibri" w:hAnsi="Calibri" w:eastAsia="Malgun Gothic"/>
          <w:color w:val="202124"/>
          <w:sz w:val="22"/>
        </w:rPr>
        <w:t>학습 방식과 기반 모델 선정</w:t>
      </w:r>
    </w:p>
    <w:p>
      <w:pPr>
        <w:pStyle w:val="ListNumber"/>
      </w:pPr>
      <w:r>
        <w:rPr>
          <w:rFonts w:ascii="Calibri" w:hAnsi="Calibri" w:eastAsia="Malgun Gothic"/>
          <w:color w:val="202124"/>
          <w:sz w:val="22"/>
        </w:rPr>
        <w:t>설계변경 사유 분류와 후보 순위부터 단계별 학습</w:t>
      </w:r>
    </w:p>
    <w:p>
      <w:pPr>
        <w:pStyle w:val="ListNumber"/>
      </w:pPr>
      <w:r>
        <w:rPr>
          <w:rFonts w:ascii="Calibri" w:hAnsi="Calibri" w:eastAsia="Malgun Gothic"/>
          <w:color w:val="202124"/>
          <w:sz w:val="22"/>
        </w:rPr>
        <w:t>복수 Action과 공용 ASSY 영향 추론 확대</w:t>
      </w:r>
    </w:p>
    <w:p>
      <w:pPr>
        <w:pStyle w:val="ListNumber"/>
      </w:pPr>
      <w:r>
        <w:rPr>
          <w:rFonts w:ascii="Calibri" w:hAnsi="Calibri" w:eastAsia="Malgun Gothic"/>
          <w:color w:val="202124"/>
          <w:sz w:val="22"/>
        </w:rPr>
        <w:t>근거 생성과 불확실성 표현 학습</w:t>
      </w:r>
    </w:p>
    <w:p>
      <w:pPr>
        <w:pStyle w:val="ListNumber"/>
      </w:pPr>
      <w:r>
        <w:rPr>
          <w:rFonts w:ascii="Calibri" w:hAnsi="Calibri" w:eastAsia="Malgun Gothic"/>
          <w:color w:val="202124"/>
          <w:sz w:val="22"/>
        </w:rPr>
        <w:t>Rule Engine과 Shadow 병행평가</w:t>
      </w:r>
    </w:p>
    <w:p>
      <w:pPr>
        <w:pStyle w:val="ListNumber"/>
      </w:pPr>
      <w:r>
        <w:rPr>
          <w:rFonts w:ascii="Calibri" w:hAnsi="Calibri" w:eastAsia="Malgun Gothic"/>
          <w:color w:val="202124"/>
          <w:sz w:val="22"/>
        </w:rPr>
        <w:t>오류 사례 재학습과 독립 검증</w:t>
      </w:r>
    </w:p>
    <w:p>
      <w:pPr>
        <w:pStyle w:val="ListNumber"/>
      </w:pPr>
      <w:r>
        <w:rPr>
          <w:rFonts w:ascii="Calibri" w:hAnsi="Calibri" w:eastAsia="Malgun Gothic"/>
          <w:color w:val="202124"/>
          <w:sz w:val="22"/>
        </w:rPr>
        <w:t>기준 충족 시 추천·판정 기능의 단계적 전환</w:t>
      </w:r>
    </w:p>
    <w:p>
      <w:r>
        <w:rPr>
          <w:rFonts w:ascii="Calibri" w:hAnsi="Calibri" w:eastAsia="Malgun Gothic"/>
          <w:color w:val="202124"/>
          <w:sz w:val="22"/>
        </w:rPr>
        <w:t>실제 학습 방식은 데이터 규모와 품질, 사용 가능한 Azure OpenAI 모델 기능을 확인하여 지도 미세조정, 선호·순위 학습 또는 평가 기반 개선 중 적합한 방식을 선택한다.</w:t>
      </w:r>
    </w:p>
    <w:p>
      <w:pPr>
        <w:pStyle w:val="Heading2"/>
        <w:keepNext/>
      </w:pPr>
      <w:r>
        <w:t>16.4 전환 Gate</w:t>
      </w:r>
    </w:p>
    <w:p>
      <w:pPr>
        <w:pStyle w:val="ListBullet"/>
      </w:pPr>
      <w:r>
        <w:rPr>
          <w:rFonts w:ascii="Calibri" w:hAnsi="Calibri" w:eastAsia="Malgun Gothic"/>
          <w:color w:val="202124"/>
          <w:sz w:val="22"/>
        </w:rPr>
        <w:t>별도 검증 데이터 전체 정확도 90% 이상</w:t>
      </w:r>
    </w:p>
    <w:p>
      <w:pPr>
        <w:pStyle w:val="ListBullet"/>
      </w:pPr>
      <w:r>
        <w:rPr>
          <w:rFonts w:ascii="Calibri" w:hAnsi="Calibri" w:eastAsia="Malgun Gothic"/>
          <w:color w:val="202124"/>
          <w:sz w:val="22"/>
        </w:rPr>
        <w:t>안전 필수조건에서 잘못된 PASS 0건</w:t>
      </w:r>
    </w:p>
    <w:p>
      <w:pPr>
        <w:pStyle w:val="ListBullet"/>
      </w:pPr>
      <w:r>
        <w:rPr>
          <w:rFonts w:ascii="Calibri" w:hAnsi="Calibri" w:eastAsia="Malgun Gothic"/>
          <w:color w:val="202124"/>
          <w:sz w:val="22"/>
        </w:rPr>
        <w:t>후보 순위, 사유 분류, 상태 판정과 근거 정확성을 각각 평가</w:t>
      </w:r>
    </w:p>
    <w:p>
      <w:pPr>
        <w:pStyle w:val="ListBullet"/>
      </w:pPr>
      <w:r>
        <w:rPr>
          <w:rFonts w:ascii="Calibri" w:hAnsi="Calibri" w:eastAsia="Malgun Gothic"/>
          <w:color w:val="202124"/>
          <w:sz w:val="22"/>
        </w:rPr>
        <w:t>Rule 대비 오류 유형과 신뢰도 Calibration 확인</w:t>
      </w:r>
    </w:p>
    <w:p>
      <w:pPr>
        <w:pStyle w:val="ListBullet"/>
      </w:pPr>
      <w:r>
        <w:rPr>
          <w:rFonts w:ascii="Calibri" w:hAnsi="Calibri" w:eastAsia="Malgun Gothic"/>
          <w:color w:val="202124"/>
          <w:sz w:val="22"/>
        </w:rPr>
        <w:t>일정 기간 Shadow 운영에서 기준 지속 충족</w:t>
      </w:r>
    </w:p>
    <w:p>
      <w:pPr>
        <w:pStyle w:val="ListBullet"/>
      </w:pPr>
      <w:r>
        <w:rPr>
          <w:rFonts w:ascii="Calibri" w:hAnsi="Calibri" w:eastAsia="Malgun Gothic"/>
          <w:color w:val="202124"/>
          <w:sz w:val="22"/>
        </w:rPr>
        <w:t>사용자 승인 후 단계별 기능 전환</w:t>
      </w:r>
    </w:p>
    <w:p>
      <w:pPr>
        <w:pStyle w:val="Heading2"/>
        <w:keepNext/>
      </w:pPr>
      <w:r>
        <w:t>16.5 전환 후 유지할 시스템 안전장치</w:t>
      </w:r>
    </w:p>
    <w:p>
      <w:pPr>
        <w:pStyle w:val="ListBullet"/>
      </w:pPr>
      <w:r>
        <w:rPr>
          <w:rFonts w:ascii="Calibri" w:hAnsi="Calibri" w:eastAsia="Malgun Gothic"/>
          <w:color w:val="202124"/>
          <w:sz w:val="22"/>
        </w:rPr>
        <w:t>후보 선택과 최종 Apply의 2회 승인</w:t>
      </w:r>
    </w:p>
    <w:p>
      <w:pPr>
        <w:pStyle w:val="ListBullet"/>
      </w:pPr>
      <w:r>
        <w:rPr>
          <w:rFonts w:ascii="Calibri" w:hAnsi="Calibri" w:eastAsia="Malgun Gothic"/>
          <w:color w:val="202124"/>
          <w:sz w:val="22"/>
        </w:rPr>
        <w:t>BOM 구조·참조 무결성 검증</w:t>
      </w:r>
    </w:p>
    <w:p>
      <w:pPr>
        <w:pStyle w:val="ListBullet"/>
      </w:pPr>
      <w:r>
        <w:rPr>
          <w:rFonts w:ascii="Calibri" w:hAnsi="Calibri" w:eastAsia="Malgun Gothic"/>
          <w:color w:val="202124"/>
          <w:sz w:val="22"/>
        </w:rPr>
        <w:t>복수 변경 Atomic Transaction</w:t>
      </w:r>
    </w:p>
    <w:p>
      <w:pPr>
        <w:pStyle w:val="ListBullet"/>
      </w:pPr>
      <w:r>
        <w:rPr>
          <w:rFonts w:ascii="Calibri" w:hAnsi="Calibri" w:eastAsia="Malgun Gothic"/>
          <w:color w:val="202124"/>
          <w:sz w:val="22"/>
        </w:rPr>
        <w:t>Apply 실패 시 전체 Rollback</w:t>
      </w:r>
    </w:p>
    <w:p>
      <w:pPr>
        <w:pStyle w:val="ListBullet"/>
      </w:pPr>
      <w:r>
        <w:rPr>
          <w:rFonts w:ascii="Calibri" w:hAnsi="Calibri" w:eastAsia="Malgun Gothic"/>
          <w:color w:val="202124"/>
          <w:sz w:val="22"/>
        </w:rPr>
        <w:t>변경·판정·승인·적용 Audit</w:t>
      </w:r>
    </w:p>
    <w:p>
      <w:r>
        <w:rPr>
          <w:rFonts w:ascii="Calibri" w:hAnsi="Calibri" w:eastAsia="Malgun Gothic"/>
          <w:color w:val="202124"/>
          <w:sz w:val="22"/>
        </w:rPr>
        <w:t>LLM은 업무 추론을 자동화하지만 Production 데이터베이스에 직접 SQL을 실행하지 않는다. Apply는 계속 검증된 MCP Tool과 Domain Service를 통해서만 수행한다.</w:t>
      </w:r>
    </w:p>
    <w:p>
      <w:pPr>
        <w:pStyle w:val="Heading1"/>
        <w:keepNext/>
      </w:pPr>
      <w:r>
        <w:t>17. RAG와 Text-to-SQL</w:t>
      </w:r>
    </w:p>
    <w:p>
      <w:r>
        <w:rPr>
          <w:rFonts w:ascii="Calibri" w:hAnsi="Calibri" w:eastAsia="Malgun Gothic"/>
          <w:color w:val="202124"/>
          <w:sz w:val="22"/>
        </w:rPr>
        <w:t>Phase3에서는 RAG와 Text-to-SQL을 제외한다. 현재 핵심 데이터는 정형 데이터이며 명시적 MCP Capability와 Service가 더 안전하고 설명 가능하다.</w:t>
      </w:r>
    </w:p>
    <w:p>
      <w:r>
        <w:rPr>
          <w:rFonts w:ascii="Calibri" w:hAnsi="Calibri" w:eastAsia="Malgun Gothic"/>
          <w:color w:val="202124"/>
          <w:sz w:val="22"/>
        </w:rPr>
        <w:t>Phase3 완료 후 Phase1~3 결과물을 다시 검증하여 다음과 같은 실제 필요가 확인될 때만 도입한다.</w:t>
      </w:r>
    </w:p>
    <w:p>
      <w:pPr>
        <w:pStyle w:val="ListBullet"/>
      </w:pPr>
      <w:r>
        <w:rPr>
          <w:rFonts w:ascii="Calibri" w:hAnsi="Calibri" w:eastAsia="Malgun Gothic"/>
          <w:color w:val="202124"/>
          <w:sz w:val="22"/>
        </w:rPr>
        <w:t>업무 규정·고객 사양서·품질 가이드 등 비정형 지식 검색이 필요한 경우 RAG 검토</w:t>
      </w:r>
    </w:p>
    <w:p>
      <w:pPr>
        <w:pStyle w:val="ListBullet"/>
      </w:pPr>
      <w:r>
        <w:rPr>
          <w:rFonts w:ascii="Calibri" w:hAnsi="Calibri" w:eastAsia="Malgun Gothic"/>
          <w:color w:val="202124"/>
          <w:sz w:val="22"/>
        </w:rPr>
        <w:t>고정 MCP Tool로 감당하기 어려운 읽기 전용 분석 질의가 반복될 경우 제한적 Text-to-SQL 검토</w:t>
      </w:r>
    </w:p>
    <w:p>
      <w:r>
        <w:rPr>
          <w:rFonts w:ascii="Calibri" w:hAnsi="Calibri" w:eastAsia="Malgun Gothic"/>
          <w:color w:val="202124"/>
          <w:sz w:val="22"/>
        </w:rPr>
        <w:t>Production 변경이나 상태 전이는 RAG 또는 Text-to-SQL 경로로 수행하지 않는다.</w:t>
      </w:r>
    </w:p>
    <w:p>
      <w:pPr>
        <w:pStyle w:val="Heading1"/>
        <w:keepNext/>
      </w:pPr>
      <w:r>
        <w:t>18. STEP26 통합 개발 순서</w:t>
      </w:r>
    </w:p>
    <w:p>
      <w:pPr>
        <w:pStyle w:val="Heading2"/>
        <w:keepNext/>
      </w:pPr>
      <w:r>
        <w:t>STEP26-A. 기준선과 사례 확정</w:t>
      </w:r>
    </w:p>
    <w:p>
      <w:pPr>
        <w:pStyle w:val="ListBullet"/>
      </w:pPr>
      <w:r>
        <w:rPr>
          <w:rFonts w:ascii="Calibri" w:hAnsi="Calibri" w:eastAsia="Malgun Gothic"/>
          <w:color w:val="202124"/>
          <w:sz w:val="22"/>
        </w:rPr>
        <w:t>Phase2 v2.0.0 상태·테스트·MCP Tool 기준선 고정</w:t>
      </w:r>
    </w:p>
    <w:p>
      <w:pPr>
        <w:pStyle w:val="ListBullet"/>
      </w:pPr>
      <w:r>
        <w:rPr>
          <w:rFonts w:ascii="Calibri" w:hAnsi="Calibri" w:eastAsia="Malgun Gothic"/>
          <w:color w:val="202124"/>
          <w:sz w:val="22"/>
        </w:rPr>
        <w:t>10개 사례별 샘플 데이터, 후보, Rule, 예상 결과 사전 검토</w:t>
      </w:r>
    </w:p>
    <w:p>
      <w:pPr>
        <w:pStyle w:val="Heading2"/>
        <w:keepNext/>
      </w:pPr>
      <w:r>
        <w:t>STEP26-B. SQLite Schema와 Repository 확장</w:t>
      </w:r>
    </w:p>
    <w:p>
      <w:pPr>
        <w:pStyle w:val="ListBullet"/>
      </w:pPr>
      <w:r>
        <w:rPr>
          <w:rFonts w:ascii="Calibri" w:hAnsi="Calibri" w:eastAsia="Malgun Gothic"/>
          <w:color w:val="202124"/>
          <w:sz w:val="22"/>
        </w:rPr>
        <w:t>공급사, 원가, 납기, 재고조직, 재고, 생산계획</w:t>
      </w:r>
    </w:p>
    <w:p>
      <w:pPr>
        <w:pStyle w:val="ListBullet"/>
      </w:pPr>
      <w:r>
        <w:rPr>
          <w:rFonts w:ascii="Calibri" w:hAnsi="Calibri" w:eastAsia="Malgun Gothic"/>
          <w:color w:val="202124"/>
          <w:sz w:val="22"/>
        </w:rPr>
        <w:t>Rule Revision, 추천 이력, 복수 Action, 성과 및 학습 이력</w:t>
      </w:r>
    </w:p>
    <w:p>
      <w:pPr>
        <w:pStyle w:val="ListBullet"/>
      </w:pPr>
      <w:r>
        <w:rPr>
          <w:rFonts w:ascii="Calibri" w:hAnsi="Calibri" w:eastAsia="Malgun Gothic"/>
          <w:color w:val="202124"/>
          <w:sz w:val="22"/>
        </w:rPr>
        <w:t>PK·FK·CHECK·UNIQUE·Index와 Unit of Work</w:t>
      </w:r>
    </w:p>
    <w:p>
      <w:pPr>
        <w:pStyle w:val="Heading2"/>
        <w:keepNext/>
      </w:pPr>
      <w:r>
        <w:t>STEP26-C. 추천·Rule Engine</w:t>
      </w:r>
    </w:p>
    <w:p>
      <w:pPr>
        <w:pStyle w:val="ListBullet"/>
      </w:pPr>
      <w:r>
        <w:rPr>
          <w:rFonts w:ascii="Calibri" w:hAnsi="Calibri" w:eastAsia="Malgun Gothic"/>
          <w:color w:val="202124"/>
          <w:sz w:val="22"/>
        </w:rPr>
        <w:t>단계적 후보 탐색</w:t>
      </w:r>
    </w:p>
    <w:p>
      <w:pPr>
        <w:pStyle w:val="ListBullet"/>
      </w:pPr>
      <w:r>
        <w:rPr>
          <w:rFonts w:ascii="Calibri" w:hAnsi="Calibri" w:eastAsia="Malgun Gothic"/>
          <w:color w:val="202124"/>
          <w:sz w:val="22"/>
        </w:rPr>
        <w:t>다중 사유 Rule 적용과 충돌 우선순위</w:t>
      </w:r>
    </w:p>
    <w:p>
      <w:pPr>
        <w:pStyle w:val="ListBullet"/>
      </w:pPr>
      <w:r>
        <w:rPr>
          <w:rFonts w:ascii="Calibri" w:hAnsi="Calibri" w:eastAsia="Malgun Gothic"/>
          <w:color w:val="202124"/>
          <w:sz w:val="22"/>
        </w:rPr>
        <w:t>상태·점수·등급 분리와 근거 생성</w:t>
      </w:r>
    </w:p>
    <w:p>
      <w:pPr>
        <w:pStyle w:val="ListBullet"/>
      </w:pPr>
      <w:r>
        <w:rPr>
          <w:rFonts w:ascii="Calibri" w:hAnsi="Calibri" w:eastAsia="Malgun Gothic"/>
          <w:color w:val="202124"/>
          <w:sz w:val="22"/>
        </w:rPr>
        <w:t>조건부 재검증</w:t>
      </w:r>
    </w:p>
    <w:p>
      <w:pPr>
        <w:pStyle w:val="Heading2"/>
        <w:keepNext/>
      </w:pPr>
      <w:r>
        <w:t>STEP26-D. 공급사와 수급 영향</w:t>
      </w:r>
    </w:p>
    <w:p>
      <w:pPr>
        <w:pStyle w:val="ListBullet"/>
      </w:pPr>
      <w:r>
        <w:rPr>
          <w:rFonts w:ascii="Calibri" w:hAnsi="Calibri" w:eastAsia="Malgun Gothic"/>
          <w:color w:val="202124"/>
          <w:sz w:val="22"/>
        </w:rPr>
        <w:t>자재·공급사 조합 평가</w:t>
      </w:r>
    </w:p>
    <w:p>
      <w:pPr>
        <w:pStyle w:val="ListBullet"/>
      </w:pPr>
      <w:r>
        <w:rPr>
          <w:rFonts w:ascii="Calibri" w:hAnsi="Calibri" w:eastAsia="Malgun Gothic"/>
          <w:color w:val="202124"/>
          <w:sz w:val="22"/>
        </w:rPr>
        <w:t>주 공급사 추천</w:t>
      </w:r>
    </w:p>
    <w:p>
      <w:pPr>
        <w:pStyle w:val="ListBullet"/>
      </w:pPr>
      <w:r>
        <w:rPr>
          <w:rFonts w:ascii="Calibri" w:hAnsi="Calibri" w:eastAsia="Malgun Gothic"/>
          <w:color w:val="202124"/>
          <w:sz w:val="22"/>
        </w:rPr>
        <w:t>요청수량·생산계획 기준 재고와 납기 평가</w:t>
      </w:r>
    </w:p>
    <w:p>
      <w:pPr>
        <w:pStyle w:val="Heading2"/>
        <w:keepNext/>
      </w:pPr>
      <w:r>
        <w:t>STEP26-E. Action과 복수 변경</w:t>
      </w:r>
    </w:p>
    <w:p>
      <w:pPr>
        <w:pStyle w:val="ListBullet"/>
      </w:pPr>
      <w:r>
        <w:rPr>
          <w:rFonts w:ascii="Calibri" w:hAnsi="Calibri" w:eastAsia="Malgun Gothic"/>
          <w:color w:val="202124"/>
          <w:sz w:val="22"/>
        </w:rPr>
        <w:t>REPLACE·ADD·DELETE·QUANTITY_CHANGE</w:t>
      </w:r>
    </w:p>
    <w:p>
      <w:pPr>
        <w:pStyle w:val="ListBullet"/>
      </w:pPr>
      <w:r>
        <w:rPr>
          <w:rFonts w:ascii="Calibri" w:hAnsi="Calibri" w:eastAsia="Malgun Gothic"/>
          <w:color w:val="202124"/>
          <w:sz w:val="22"/>
        </w:rPr>
        <w:t>복수 Action 요청·분석·Preview</w:t>
      </w:r>
    </w:p>
    <w:p>
      <w:pPr>
        <w:pStyle w:val="ListBullet"/>
      </w:pPr>
      <w:r>
        <w:rPr>
          <w:rFonts w:ascii="Calibri" w:hAnsi="Calibri" w:eastAsia="Malgun Gothic"/>
          <w:color w:val="202124"/>
          <w:sz w:val="22"/>
        </w:rPr>
        <w:t>하나의 실패가 전체 Apply를 차단하는 Atomic Transaction</w:t>
      </w:r>
    </w:p>
    <w:p>
      <w:pPr>
        <w:pStyle w:val="Heading2"/>
        <w:keepNext/>
      </w:pPr>
      <w:r>
        <w:t>STEP26-F. 공용 ASSY 영향 분석</w:t>
      </w:r>
    </w:p>
    <w:p>
      <w:pPr>
        <w:pStyle w:val="ListBullet"/>
      </w:pPr>
      <w:r>
        <w:rPr>
          <w:rFonts w:ascii="Calibri" w:hAnsi="Calibri" w:eastAsia="Malgun Gothic"/>
          <w:color w:val="202124"/>
          <w:sz w:val="22"/>
        </w:rPr>
        <w:t>상·하위 BOM 재귀 탐색</w:t>
      </w:r>
    </w:p>
    <w:p>
      <w:pPr>
        <w:pStyle w:val="ListBullet"/>
      </w:pPr>
      <w:r>
        <w:rPr>
          <w:rFonts w:ascii="Calibri" w:hAnsi="Calibri" w:eastAsia="Malgun Gothic"/>
          <w:color w:val="202124"/>
          <w:sz w:val="22"/>
        </w:rPr>
        <w:t>영향 모델·ASSY와 비용·수급 범위 계산</w:t>
      </w:r>
    </w:p>
    <w:p>
      <w:pPr>
        <w:pStyle w:val="ListBullet"/>
      </w:pPr>
      <w:r>
        <w:rPr>
          <w:rFonts w:ascii="Calibri" w:hAnsi="Calibri" w:eastAsia="Malgun Gothic"/>
          <w:color w:val="202124"/>
          <w:sz w:val="22"/>
        </w:rPr>
        <w:t>ASSY QUANTITY_CHANGE와 ASSY REPLACE</w:t>
      </w:r>
    </w:p>
    <w:p>
      <w:pPr>
        <w:pStyle w:val="Heading2"/>
        <w:keepNext/>
      </w:pPr>
      <w:r>
        <w:t>STEP26-G. MCP와 Single Agent Workflow</w:t>
      </w:r>
    </w:p>
    <w:p>
      <w:pPr>
        <w:pStyle w:val="ListBullet"/>
      </w:pPr>
      <w:r>
        <w:rPr>
          <w:rFonts w:ascii="Calibri" w:hAnsi="Calibri" w:eastAsia="Malgun Gothic"/>
          <w:color w:val="202124"/>
          <w:sz w:val="22"/>
        </w:rPr>
        <w:t>후보 추천, 영향 분석, 승인, Apply, Rule, 성과와 Export Capability</w:t>
      </w:r>
    </w:p>
    <w:p>
      <w:pPr>
        <w:pStyle w:val="ListBullet"/>
      </w:pPr>
      <w:r>
        <w:rPr>
          <w:rFonts w:ascii="Calibri" w:hAnsi="Calibri" w:eastAsia="Malgun Gothic"/>
          <w:color w:val="202124"/>
          <w:sz w:val="22"/>
        </w:rPr>
        <w:t>Agent의 복수 Action State와 중단·재개</w:t>
      </w:r>
    </w:p>
    <w:p>
      <w:pPr>
        <w:pStyle w:val="Heading2"/>
        <w:keepNext/>
      </w:pPr>
      <w:r>
        <w:t>STEP26-H. Agent 채팅과 승인</w:t>
      </w:r>
    </w:p>
    <w:p>
      <w:pPr>
        <w:pStyle w:val="ListBullet"/>
      </w:pPr>
      <w:r>
        <w:rPr>
          <w:rFonts w:ascii="Calibri" w:hAnsi="Calibri" w:eastAsia="Malgun Gothic"/>
          <w:color w:val="202124"/>
          <w:sz w:val="22"/>
        </w:rPr>
        <w:t>후보·주 공급사 선택</w:t>
      </w:r>
    </w:p>
    <w:p>
      <w:pPr>
        <w:pStyle w:val="ListBullet"/>
      </w:pPr>
      <w:r>
        <w:rPr>
          <w:rFonts w:ascii="Calibri" w:hAnsi="Calibri" w:eastAsia="Malgun Gothic"/>
          <w:color w:val="202124"/>
          <w:sz w:val="22"/>
        </w:rPr>
        <w:t>조건부 추가 데이터와 예외승인</w:t>
      </w:r>
    </w:p>
    <w:p>
      <w:pPr>
        <w:pStyle w:val="ListBullet"/>
      </w:pPr>
      <w:r>
        <w:rPr>
          <w:rFonts w:ascii="Calibri" w:hAnsi="Calibri" w:eastAsia="Malgun Gothic"/>
          <w:color w:val="202124"/>
          <w:sz w:val="22"/>
        </w:rPr>
        <w:t>1차 후보 선택 승인과 2차 최종 Apply 승인</w:t>
      </w:r>
    </w:p>
    <w:p>
      <w:pPr>
        <w:pStyle w:val="Heading2"/>
        <w:keepNext/>
      </w:pPr>
      <w:r>
        <w:t>STEP26-I. 관리 UI와 학습 데이터</w:t>
      </w:r>
    </w:p>
    <w:p>
      <w:pPr>
        <w:pStyle w:val="ListBullet"/>
      </w:pPr>
      <w:r>
        <w:rPr>
          <w:rFonts w:ascii="Calibri" w:hAnsi="Calibri" w:eastAsia="Malgun Gothic"/>
          <w:color w:val="202124"/>
          <w:sz w:val="22"/>
        </w:rPr>
        <w:t>Rule 조회·추가·Revision·비활성화</w:t>
      </w:r>
    </w:p>
    <w:p>
      <w:pPr>
        <w:pStyle w:val="ListBullet"/>
      </w:pPr>
      <w:r>
        <w:rPr>
          <w:rFonts w:ascii="Calibri" w:hAnsi="Calibri" w:eastAsia="Malgun Gothic"/>
          <w:color w:val="202124"/>
          <w:sz w:val="22"/>
        </w:rPr>
        <w:t>변경·판정·승인·Apply 이력</w:t>
      </w:r>
    </w:p>
    <w:p>
      <w:pPr>
        <w:pStyle w:val="ListBullet"/>
      </w:pPr>
      <w:r>
        <w:rPr>
          <w:rFonts w:ascii="Calibri" w:hAnsi="Calibri" w:eastAsia="Malgun Gothic"/>
          <w:color w:val="202124"/>
          <w:sz w:val="22"/>
        </w:rPr>
        <w:t>30·60·90일 성과평가</w:t>
      </w:r>
    </w:p>
    <w:p>
      <w:pPr>
        <w:pStyle w:val="ListBullet"/>
      </w:pPr>
      <w:r>
        <w:rPr>
          <w:rFonts w:ascii="Calibri" w:hAnsi="Calibri" w:eastAsia="Malgun Gothic"/>
          <w:color w:val="202124"/>
          <w:sz w:val="22"/>
        </w:rPr>
        <w:t>학습 레코드와 JSONL Export</w:t>
      </w:r>
    </w:p>
    <w:p>
      <w:pPr>
        <w:pStyle w:val="Heading2"/>
        <w:keepNext/>
      </w:pPr>
      <w:r>
        <w:t>STEP26-J. 통합 검증과 v3.0.0 완료</w:t>
      </w:r>
    </w:p>
    <w:p>
      <w:pPr>
        <w:pStyle w:val="ListBullet"/>
      </w:pPr>
      <w:r>
        <w:rPr>
          <w:rFonts w:ascii="Calibri" w:hAnsi="Calibri" w:eastAsia="Malgun Gothic"/>
          <w:color w:val="202124"/>
          <w:sz w:val="22"/>
        </w:rPr>
        <w:t>10개 사례 E2E</w:t>
      </w:r>
    </w:p>
    <w:p>
      <w:pPr>
        <w:pStyle w:val="ListBullet"/>
      </w:pPr>
      <w:r>
        <w:rPr>
          <w:rFonts w:ascii="Calibri" w:hAnsi="Calibri" w:eastAsia="Malgun Gothic"/>
          <w:color w:val="202124"/>
          <w:sz w:val="22"/>
        </w:rPr>
        <w:t>복수 변경, 공용 ASSY, Conditional 재검증과 예외승인</w:t>
      </w:r>
    </w:p>
    <w:p>
      <w:pPr>
        <w:pStyle w:val="ListBullet"/>
      </w:pPr>
      <w:r>
        <w:rPr>
          <w:rFonts w:ascii="Calibri" w:hAnsi="Calibri" w:eastAsia="Malgun Gothic"/>
          <w:color w:val="202124"/>
          <w:sz w:val="22"/>
        </w:rPr>
        <w:t>승인 차단, Atomic Apply와 Rollback</w:t>
      </w:r>
    </w:p>
    <w:p>
      <w:pPr>
        <w:pStyle w:val="ListBullet"/>
      </w:pPr>
      <w:r>
        <w:rPr>
          <w:rFonts w:ascii="Calibri" w:hAnsi="Calibri" w:eastAsia="Malgun Gothic"/>
          <w:color w:val="202124"/>
          <w:sz w:val="22"/>
        </w:rPr>
        <w:t>전체 회귀 테스트와 SQLite-only 검증</w:t>
      </w:r>
    </w:p>
    <w:p>
      <w:pPr>
        <w:pStyle w:val="ListBullet"/>
      </w:pPr>
      <w:r>
        <w:rPr>
          <w:rFonts w:ascii="Calibri" w:hAnsi="Calibri" w:eastAsia="Malgun Gothic"/>
          <w:color w:val="202124"/>
          <w:sz w:val="22"/>
        </w:rPr>
        <w:t>문서·Tool 수·Schema·테스트 결과 동기화</w:t>
      </w:r>
    </w:p>
    <w:p>
      <w:pPr>
        <w:pStyle w:val="Heading1"/>
        <w:keepNext/>
      </w:pPr>
      <w:r>
        <w:t>19. 테스트와 완료 기준</w:t>
      </w:r>
    </w:p>
    <w:p>
      <w:r>
        <w:rPr>
          <w:rFonts w:ascii="Calibri" w:hAnsi="Calibri" w:eastAsia="Malgun Gothic"/>
          <w:color w:val="202124"/>
          <w:sz w:val="22"/>
        </w:rPr>
        <w:t>10개 사례 모두 다음 경로를 통과해야 한다.</w:t>
      </w:r>
    </w:p>
    <w:p>
      <w:pPr>
        <w:pStyle w:val="ListNumber"/>
      </w:pPr>
      <w:r>
        <w:rPr>
          <w:rFonts w:ascii="Calibri" w:hAnsi="Calibri" w:eastAsia="Malgun Gothic"/>
          <w:color w:val="202124"/>
          <w:sz w:val="22"/>
        </w:rPr>
        <w:t>자연어 요청과 엔터티 식별</w:t>
      </w:r>
    </w:p>
    <w:p>
      <w:pPr>
        <w:pStyle w:val="ListNumber"/>
      </w:pPr>
      <w:r>
        <w:rPr>
          <w:rFonts w:ascii="Calibri" w:hAnsi="Calibri" w:eastAsia="Malgun Gothic"/>
          <w:color w:val="202124"/>
          <w:sz w:val="22"/>
        </w:rPr>
        <w:t>후보 전체 탐색과 주 공급사 평가</w:t>
      </w:r>
    </w:p>
    <w:p>
      <w:pPr>
        <w:pStyle w:val="ListNumber"/>
      </w:pPr>
      <w:r>
        <w:rPr>
          <w:rFonts w:ascii="Calibri" w:hAnsi="Calibri" w:eastAsia="Malgun Gothic"/>
          <w:color w:val="202124"/>
          <w:sz w:val="22"/>
        </w:rPr>
        <w:t>상태, 점수, 등급과 모든 Rule 근거</w:t>
      </w:r>
    </w:p>
    <w:p>
      <w:pPr>
        <w:pStyle w:val="ListNumber"/>
      </w:pPr>
      <w:r>
        <w:rPr>
          <w:rFonts w:ascii="Calibri" w:hAnsi="Calibri" w:eastAsia="Malgun Gothic"/>
          <w:color w:val="202124"/>
          <w:sz w:val="22"/>
        </w:rPr>
        <w:t>Action별 후보 선택과 전체 1차 승인</w:t>
      </w:r>
    </w:p>
    <w:p>
      <w:pPr>
        <w:pStyle w:val="ListNumber"/>
      </w:pPr>
      <w:r>
        <w:rPr>
          <w:rFonts w:ascii="Calibri" w:hAnsi="Calibri" w:eastAsia="Malgun Gothic"/>
          <w:color w:val="202124"/>
          <w:sz w:val="22"/>
        </w:rPr>
        <w:t>통합 영향 분석과 Preview</w:t>
      </w:r>
    </w:p>
    <w:p>
      <w:pPr>
        <w:pStyle w:val="ListNumber"/>
      </w:pPr>
      <w:r>
        <w:rPr>
          <w:rFonts w:ascii="Calibri" w:hAnsi="Calibri" w:eastAsia="Malgun Gothic"/>
          <w:color w:val="202124"/>
          <w:sz w:val="22"/>
        </w:rPr>
        <w:t>최종 Apply 2차 승인</w:t>
      </w:r>
    </w:p>
    <w:p>
      <w:pPr>
        <w:pStyle w:val="ListNumber"/>
      </w:pPr>
      <w:r>
        <w:rPr>
          <w:rFonts w:ascii="Calibri" w:hAnsi="Calibri" w:eastAsia="Malgun Gothic"/>
          <w:color w:val="202124"/>
          <w:sz w:val="22"/>
        </w:rPr>
        <w:t>Production E-BOM 반영과 이력 저장</w:t>
      </w:r>
    </w:p>
    <w:p>
      <w:pPr>
        <w:pStyle w:val="ListNumber"/>
      </w:pPr>
      <w:r>
        <w:rPr>
          <w:rFonts w:ascii="Calibri" w:hAnsi="Calibri" w:eastAsia="Malgun Gothic"/>
          <w:color w:val="202124"/>
          <w:sz w:val="22"/>
        </w:rPr>
        <w:t>실패 주입 시 전체 Rollback</w:t>
      </w:r>
    </w:p>
    <w:p>
      <w:pPr>
        <w:pStyle w:val="ListNumber"/>
      </w:pPr>
      <w:r>
        <w:rPr>
          <w:rFonts w:ascii="Calibri" w:hAnsi="Calibri" w:eastAsia="Malgun Gothic"/>
          <w:color w:val="202124"/>
          <w:sz w:val="22"/>
        </w:rPr>
        <w:t>학습 이력과 JSONL 생성 검증</w:t>
      </w:r>
    </w:p>
    <w:p>
      <w:pPr>
        <w:pStyle w:val="ListNumber"/>
      </w:pPr>
      <w:r>
        <w:rPr>
          <w:rFonts w:ascii="Calibri" w:hAnsi="Calibri" w:eastAsia="Malgun Gothic"/>
          <w:color w:val="202124"/>
          <w:sz w:val="22"/>
        </w:rPr>
        <w:t>Streamlit Agent E2E와 회귀 테스트</w:t>
      </w:r>
    </w:p>
    <w:p>
      <w:r>
        <w:rPr>
          <w:rFonts w:ascii="Calibri" w:hAnsi="Calibri" w:eastAsia="Malgun Gothic"/>
          <w:color w:val="202124"/>
          <w:sz w:val="22"/>
        </w:rPr>
        <w:t>완료 판단은 단순 테스트 개수가 아니라 업무 시나리오별 예상 결과, Tool 실행 순서, 승인 Gate, DB 무결성, Rollback과 설명 근거가 모두 일치하는지로 한다.</w:t>
      </w:r>
    </w:p>
    <w:p>
      <w:pPr>
        <w:pStyle w:val="Heading1"/>
        <w:keepNext/>
      </w:pPr>
      <w:r>
        <w:t>20. 제외 범위와 후속 검토</w:t>
      </w:r>
    </w:p>
    <w:p>
      <w:r>
        <w:rPr>
          <w:rFonts w:ascii="Calibri" w:hAnsi="Calibri" w:eastAsia="Malgun Gothic"/>
          <w:color w:val="202124"/>
          <w:sz w:val="22"/>
        </w:rPr>
        <w:t>Phase3 제외:</w:t>
      </w:r>
    </w:p>
    <w:p>
      <w:pPr>
        <w:pStyle w:val="ListBullet"/>
      </w:pPr>
      <w:r>
        <w:rPr>
          <w:rFonts w:ascii="Calibri" w:hAnsi="Calibri" w:eastAsia="Malgun Gothic"/>
          <w:color w:val="202124"/>
          <w:sz w:val="22"/>
        </w:rPr>
        <w:t>실제 PLM·ERP·MES·SCM 연계</w:t>
      </w:r>
    </w:p>
    <w:p>
      <w:pPr>
        <w:pStyle w:val="ListBullet"/>
      </w:pPr>
      <w:r>
        <w:rPr>
          <w:rFonts w:ascii="Calibri" w:hAnsi="Calibri" w:eastAsia="Malgun Gothic"/>
          <w:color w:val="202124"/>
          <w:sz w:val="22"/>
        </w:rPr>
        <w:t>기업용 사용자 인증·RBAC·전자결재</w:t>
      </w:r>
    </w:p>
    <w:p>
      <w:pPr>
        <w:pStyle w:val="ListBullet"/>
      </w:pPr>
      <w:r>
        <w:rPr>
          <w:rFonts w:ascii="Calibri" w:hAnsi="Calibri" w:eastAsia="Malgun Gothic"/>
          <w:color w:val="202124"/>
          <w:sz w:val="22"/>
        </w:rPr>
        <w:t>RAG와 Text-to-SQL</w:t>
      </w:r>
    </w:p>
    <w:p>
      <w:pPr>
        <w:pStyle w:val="ListBullet"/>
      </w:pPr>
      <w:r>
        <w:rPr>
          <w:rFonts w:ascii="Calibri" w:hAnsi="Calibri" w:eastAsia="Malgun Gothic"/>
          <w:color w:val="202124"/>
          <w:sz w:val="22"/>
        </w:rPr>
        <w:t>학습형 LLM의 실제 Production 전환</w:t>
      </w:r>
    </w:p>
    <w:p>
      <w:r>
        <w:rPr>
          <w:rFonts w:ascii="Calibri" w:hAnsi="Calibri" w:eastAsia="Malgun Gothic"/>
          <w:color w:val="202124"/>
          <w:sz w:val="22"/>
        </w:rPr>
        <w:t>Phase3 이후:</w:t>
      </w:r>
    </w:p>
    <w:p>
      <w:pPr>
        <w:pStyle w:val="ListBullet"/>
      </w:pPr>
      <w:r>
        <w:rPr>
          <w:rFonts w:ascii="Calibri" w:hAnsi="Calibri" w:eastAsia="Malgun Gothic"/>
          <w:color w:val="202124"/>
          <w:sz w:val="22"/>
        </w:rPr>
        <w:t>학습 데이터 품질·규모 평가</w:t>
      </w:r>
    </w:p>
    <w:p>
      <w:pPr>
        <w:pStyle w:val="ListBullet"/>
      </w:pPr>
      <w:r>
        <w:rPr>
          <w:rFonts w:ascii="Calibri" w:hAnsi="Calibri" w:eastAsia="Malgun Gothic"/>
          <w:color w:val="202124"/>
          <w:sz w:val="22"/>
        </w:rPr>
        <w:t>추론학습 PoC와 Rule Shadow 비교</w:t>
      </w:r>
    </w:p>
    <w:p>
      <w:pPr>
        <w:pStyle w:val="ListBullet"/>
      </w:pPr>
      <w:r>
        <w:rPr>
          <w:rFonts w:ascii="Calibri" w:hAnsi="Calibri" w:eastAsia="Malgun Gothic"/>
          <w:color w:val="202124"/>
          <w:sz w:val="22"/>
        </w:rPr>
        <w:t>RAG·Text-to-SQL 적용 필요성 재검증</w:t>
      </w:r>
    </w:p>
    <w:p>
      <w:pPr>
        <w:pStyle w:val="ListBullet"/>
      </w:pPr>
      <w:r>
        <w:rPr>
          <w:rFonts w:ascii="Calibri" w:hAnsi="Calibri" w:eastAsia="Malgun Gothic"/>
          <w:color w:val="202124"/>
          <w:sz w:val="22"/>
        </w:rPr>
        <w:t>실제 시스템 Adapter와 운영 권한·감사 설계</w:t>
      </w:r>
    </w:p>
    <w:p>
      <w:pPr>
        <w:pStyle w:val="Heading1"/>
        <w:keepNext/>
        <w:pageBreakBefore/>
      </w:pPr>
      <w:r>
        <w:t>21. 최종 지향점</w:t>
      </w:r>
    </w:p>
    <w:p>
      <w:r>
        <w:rPr>
          <w:rFonts w:ascii="Calibri" w:hAnsi="Calibri" w:eastAsia="Malgun Gothic"/>
          <w:color w:val="202124"/>
          <w:sz w:val="22"/>
        </w:rPr>
        <w:t>Display BOM AI Agent v3.0은 단순한 자재 검색 챗봇이 아니다.</w:t>
      </w:r>
    </w:p>
    <w:p>
      <w:r>
        <w:rPr>
          <w:rFonts w:ascii="Calibri" w:hAnsi="Calibri" w:eastAsia="Malgun Gothic"/>
          <w:color w:val="202124"/>
          <w:sz w:val="22"/>
        </w:rPr>
        <w:t>최종 목표는 다음과 같다.</w:t>
      </w:r>
    </w:p>
    <w:p>
      <w:pPr>
        <w:pStyle w:val="QuoteCallout"/>
      </w:pPr>
      <w:r>
        <w:rPr>
          <w:rFonts w:ascii="Calibri" w:hAnsi="Calibri" w:eastAsia="Malgun Gothic"/>
          <w:color w:val="202124"/>
          <w:sz w:val="22"/>
        </w:rPr>
        <w:t>축적된 설계변경 데이터로 추론학습한 Single AI Agent가 MATERIAL과 ASSY의 복합 설계변경을 분석·검증하고, 사용자 승인과 시스템 안전장치 아래 Production E-BOM에 원자적으로 반영하는 실무형 BOM AI Agent</w:t>
      </w:r>
    </w:p>
    <w:p>
      <w:r>
        <w:rPr>
          <w:rFonts w:ascii="Calibri" w:hAnsi="Calibri" w:eastAsia="Malgun Gothic"/>
          <w:color w:val="202124"/>
          <w:sz w:val="22"/>
        </w:rPr>
        <w:t>Phase3는 이 목표를 향한 두 가지 기반을 동시에 완성한다. 첫째는 Rule 기반 추천·영향 분석·승인·Apply의 실무 Workflow이고, 둘째는 장기적으로 Rule 판정을 대체할 LLM 학습 데이터와 평가 체계다.</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667085"/>
        <w:sz w:val="17"/>
      </w:rPr>
      <w:t xml:space="preserve">v3.0.0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Malgun Gothic"/>
        <w:b/>
        <w:color w:val="667085"/>
        <w:sz w:val="17"/>
      </w:rPr>
      <w:t>DISPLAY BOM AI AGENT  |  PHASE3 DEVELOPMENT DIRECTION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Malgun Gothic"/>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Malgun Gothic"/>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line="252" w:lineRule="auto"/>
      <w:ind w:left="259" w:right="259"/>
      <w:shd w:fill="F4F6F9"/>
    </w:pPr>
    <w:rPr>
      <w:rFonts w:ascii="Consolas" w:hAnsi="Consolas" w:eastAsia="Malgun Gothic"/>
      <w:sz w:val="18"/>
    </w:rPr>
  </w:style>
  <w:style w:type="paragraph" w:customStyle="1" w:styleId="QuoteCallout">
    <w:name w:val="Quote Callout"/>
    <w:pPr>
      <w:spacing w:before="160" w:after="200" w:line="300" w:lineRule="auto"/>
      <w:ind w:left="360" w:right="360"/>
      <w:pBdr>
        <w:left w:val="single" w:sz="18" w:space="8" w:color="2E74B5"/>
      </w:pBdr>
    </w:pPr>
    <w:rPr>
      <w:rFonts w:ascii="Calibri" w:hAnsi="Calibri" w:eastAsia="Malgun Gothic"/>
      <w:i/>
      <w:color w:val="0B2545"/>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Display BOM AI Agent v3.0 개발 방향성</dc:title>
  <dc:subject>Phase3 STEP26 개발 방향, 복합 설계변경 및 LLM 학습 계획</dc:subject>
  <dc:creator>Display BOM AI Agent Project</dc:creator>
  <cp:keywords>BOM, AI Agent, Phase3, SQLite, MCP, LLM Training</cp:keywords>
  <dc:description>generated by python-docx</dc:description>
  <cp:lastModifiedBy/>
  <cp:revision>1</cp:revision>
  <dcterms:created xsi:type="dcterms:W3CDTF">2013-12-23T23:15:00Z</dcterms:created>
  <dcterms:modified xsi:type="dcterms:W3CDTF">2013-12-23T23:15:00Z</dcterms:modified>
  <cp:category/>
</cp:coreProperties>
</file>