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1"/>
        </w:rPr>
        <w:t xml:space="preserve">שאלות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תיאורטיות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על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תכנות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מונחה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עצמים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כימוס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החסויה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אבסרקטית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למימוש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אבסרקטית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שיגזרו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modifier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internal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assembly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שהתקמפלו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internal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ממשתני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