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0"/>
        <w:jc w:val="center"/>
      </w:pPr>
      <w:r>
        <w:rPr>
          <w:rFonts w:ascii="Times New Roman" w:hAnsi="Times New Roman" w:eastAsia="黑体"/>
          <w:b/>
          <w:sz w:val="32"/>
        </w:rPr>
        <w:t>陕西科技大学镐京学院毕业论文（设计）开题报告</w:t>
      </w:r>
    </w:p>
    <w:p>
      <w:pPr>
        <w:spacing w:lineRule="exact" w:line="400" w:before="0" w:after="0"/>
        <w:jc w:val="center"/>
      </w:pPr>
      <w:r>
        <w:rPr>
          <w:rFonts w:ascii="Times New Roman" w:hAnsi="Times New Roman" w:eastAsia="宋体"/>
          <w:b w:val="0"/>
          <w:sz w:val="24"/>
        </w:rPr>
        <w:t>题目：中小学生科普知识闯关小程序设计与实现</w:t>
      </w:r>
    </w:p>
    <w:p>
      <w:pPr>
        <w:spacing w:lineRule="exact" w:line="400" w:before="0" w:after="0"/>
        <w:jc w:val="center"/>
      </w:pPr>
      <w:r>
        <w:rPr>
          <w:rFonts w:ascii="Times New Roman" w:hAnsi="Times New Roman" w:eastAsia="宋体"/>
          <w:b w:val="0"/>
          <w:sz w:val="24"/>
        </w:rPr>
        <w:t>学生姓名：贾明豪</w:t>
      </w:r>
    </w:p>
    <w:p>
      <w:pPr>
        <w:spacing w:lineRule="exact" w:line="400" w:before="0" w:after="0"/>
        <w:jc w:val="center"/>
      </w:pPr>
      <w:r>
        <w:rPr>
          <w:rFonts w:ascii="Times New Roman" w:hAnsi="Times New Roman" w:eastAsia="宋体"/>
          <w:b w:val="0"/>
          <w:sz w:val="24"/>
        </w:rPr>
        <w:t>学院：经济贸易学院</w:t>
      </w:r>
    </w:p>
    <w:p>
      <w:pPr>
        <w:spacing w:lineRule="exact" w:line="400" w:before="0" w:after="0"/>
        <w:jc w:val="center"/>
      </w:pPr>
      <w:r>
        <w:rPr>
          <w:rFonts w:ascii="Times New Roman" w:hAnsi="Times New Roman" w:eastAsia="宋体"/>
          <w:b w:val="0"/>
          <w:sz w:val="24"/>
        </w:rPr>
        <w:t>专业班级：信管2301</w:t>
      </w:r>
    </w:p>
    <w:p>
      <w:pPr>
        <w:spacing w:lineRule="exact" w:line="400" w:before="0" w:after="0"/>
        <w:jc w:val="center"/>
      </w:pPr>
      <w:r>
        <w:rPr>
          <w:rFonts w:ascii="Times New Roman" w:hAnsi="Times New Roman" w:eastAsia="宋体"/>
          <w:b w:val="0"/>
          <w:sz w:val="24"/>
        </w:rPr>
        <w:t>学号：2320401113</w:t>
      </w:r>
    </w:p>
    <w:p>
      <w:pPr>
        <w:spacing w:lineRule="exact" w:line="400" w:before="0" w:after="0"/>
        <w:jc w:val="center"/>
      </w:pPr>
      <w:r>
        <w:rPr>
          <w:rFonts w:ascii="Times New Roman" w:hAnsi="Times New Roman" w:eastAsia="宋体"/>
          <w:b w:val="0"/>
          <w:sz w:val="24"/>
        </w:rPr>
        <w:t>指导教师：孙凯丽</w:t>
      </w:r>
    </w:p>
    <w:p>
      <w:pPr>
        <w:spacing w:lineRule="exact" w:line="400" w:before="0" w:after="0"/>
        <w:jc w:val="center"/>
      </w:pPr>
      <w:r>
        <w:rPr>
          <w:rFonts w:ascii="Times New Roman" w:hAnsi="Times New Roman" w:eastAsia="宋体"/>
          <w:b w:val="0"/>
          <w:sz w:val="24"/>
        </w:rPr>
        <w:t>日期：二〇二六年十二月</w:t>
      </w:r>
    </w:p>
    <w:p>
      <w:pPr>
        <w:spacing w:lineRule="exact" w:line="400" w:before="0" w:after="0"/>
        <w:jc w:val="left"/>
      </w:pPr>
      <w:r>
        <w:rPr>
          <w:rFonts w:ascii="Times New Roman" w:hAnsi="Times New Roman" w:eastAsia="宋体"/>
          <w:b/>
          <w:sz w:val="24"/>
        </w:rPr>
        <w:t>一、研究背景和意义</w:t>
      </w:r>
    </w:p>
    <w:p>
      <w:pPr>
        <w:spacing w:lineRule="exact" w:line="400" w:before="0" w:after="0"/>
        <w:ind w:firstLine="480"/>
        <w:jc w:val="left"/>
      </w:pPr>
      <w:r>
        <w:rPr>
          <w:rFonts w:ascii="Times New Roman" w:hAnsi="Times New Roman" w:eastAsia="宋体"/>
          <w:b/>
          <w:sz w:val="24"/>
        </w:rPr>
        <w:t>研究背景</w:t>
      </w:r>
    </w:p>
    <w:p>
      <w:pPr>
        <w:spacing w:lineRule="exact" w:line="400" w:before="0" w:after="0"/>
        <w:jc w:val="both"/>
      </w:pPr>
      <w:r>
        <w:rPr>
          <w:rFonts w:ascii="Times New Roman" w:hAnsi="Times New Roman" w:eastAsia="宋体"/>
          <w:b w:val="0"/>
          <w:sz w:val="24"/>
        </w:rPr>
        <w:t>2021年，中共中央办公厅、国务院办公厅印发《全民科学素质行动规划纲要（2021—2035年）》，把青少年科学素质提升列为重点任务；2022年版义务教育课程方案也把科学素养写入培养目标。政策指向明确，但落到日常学习上，学生能接触到的科普内容仍以课内科学课、展馆参观和科普读物为主，受课时与场地限制，内容比较零散，也缺少能反复练习的形式。</w:t>
      </w:r>
    </w:p>
    <w:p>
      <w:pPr>
        <w:spacing w:lineRule="exact" w:line="400" w:before="0" w:after="0"/>
        <w:jc w:val="both"/>
      </w:pPr>
      <w:r>
        <w:rPr>
          <w:rFonts w:ascii="Times New Roman" w:hAnsi="Times New Roman" w:eastAsia="宋体"/>
          <w:b w:val="0"/>
          <w:sz w:val="24"/>
        </w:rPr>
        <w:t>已有的科普类小程序没有很好地补上这个缺口。聂鑫雨对科普小程序的调查发现，科普内容的受众以成年人为主，青少年群体被覆盖得不够，而场馆展品又受时间与场地限制，能触达的学生有限。徐金婵在校园植物科普小程序的研究中指出，这类移动应用普遍缺少理论支撑和可持续使用的学习资源。梁晴雪对口算类小程序的梳理更具体：错题处理停留在“记录”层面，缺少诊断与归因；题目依靠固定规则随机生成，无法随学生水平调整；激励设计容易走向两个极端，要么过于单调，要么喧宾夺主。这三个问题在答题类产品中同样存在，孩子做完一轮只知道对了几道，既不清楚错在哪里，也看不出下次该练什么。</w:t>
      </w:r>
    </w:p>
    <w:p>
      <w:pPr>
        <w:spacing w:lineRule="exact" w:line="400" w:before="0" w:after="0"/>
        <w:jc w:val="both"/>
      </w:pPr>
      <w:r>
        <w:rPr>
          <w:rFonts w:ascii="Times New Roman" w:hAnsi="Times New Roman" w:eastAsia="宋体"/>
          <w:b w:val="0"/>
          <w:sz w:val="24"/>
        </w:rPr>
        <w:t>技术条件方面，微信小程序免安装、入口浅，家长在自己的手机上就能打开，适合作为低龄段的载体。大语言模型可以按学生说出的主题现场出题，绕开了固定题库很快被刷完的问题。2025年前后，DeepSeek等模型在推理能力上有所提升，调用成本则明显下降，使这类应用在普通设备上具备可行性。但模型的输出并不稳定：题目结构可能不合规，难度可能与学段不符，内容也可能不适合未成年人，直接拿来给学生用是不行的。</w:t>
      </w:r>
    </w:p>
    <w:p>
      <w:pPr>
        <w:spacing w:lineRule="exact" w:line="400" w:before="0" w:after="0"/>
        <w:jc w:val="both"/>
      </w:pPr>
      <w:r>
        <w:rPr>
          <w:rFonts w:ascii="Times New Roman" w:hAnsi="Times New Roman" w:eastAsia="宋体"/>
          <w:b w:val="0"/>
          <w:sz w:val="24"/>
        </w:rPr>
        <w:t>把需求和技术条件放在一起看，目前缺的是一个面向中小学生、按学段分级、能把“出题—答题—讲解—错题沉淀—长期激励”连成闭环的答题系统。本课题据此确定选题，并已在前期搭建出可运行的原型，用于验证关键技术路线是否走得通。</w:t>
      </w:r>
    </w:p>
    <w:p>
      <w:pPr>
        <w:spacing w:lineRule="exact" w:line="400" w:before="0" w:after="0"/>
        <w:ind w:firstLine="480"/>
        <w:jc w:val="left"/>
      </w:pPr>
      <w:r>
        <w:rPr>
          <w:rFonts w:ascii="Times New Roman" w:hAnsi="Times New Roman" w:eastAsia="宋体"/>
          <w:b/>
          <w:sz w:val="24"/>
        </w:rPr>
        <w:t>研究意义</w:t>
      </w:r>
    </w:p>
    <w:p>
      <w:pPr>
        <w:spacing w:lineRule="exact" w:line="400" w:before="0" w:after="0"/>
        <w:jc w:val="both"/>
      </w:pPr>
      <w:r>
        <w:rPr>
          <w:rFonts w:ascii="Times New Roman" w:hAnsi="Times New Roman" w:eastAsia="宋体"/>
          <w:b w:val="0"/>
          <w:sz w:val="24"/>
        </w:rPr>
        <w:t>本课题的理论意义在于把两个通常停留在提法层面的问题落成可校验的约束。其一是学段适配。常见做法只是调整题量，本课题进一步规定各学段的题干长度上限与选项长度上限，题库本身按学段分开存放，同一道题不会既出现在小学低年级又出现在初中，这些约束由脚本逐条检查。其二是大模型不可用时的可用性。本课题设计了出题降级内置题库、报告降级规则模板、只练错题不调用模型的三层链路，使系统在没有密钥或断网的情况下仍能完整走通全部流程。这两点都能被自动化脚本验证，而不只是设计上的声明。</w:t>
      </w:r>
    </w:p>
    <w:p>
      <w:pPr>
        <w:spacing w:lineRule="exact" w:line="400" w:before="0" w:after="0"/>
        <w:jc w:val="both"/>
      </w:pPr>
      <w:r>
        <w:rPr>
          <w:rFonts w:ascii="Times New Roman" w:hAnsi="Times New Roman" w:eastAsia="宋体"/>
          <w:b w:val="0"/>
          <w:sz w:val="24"/>
        </w:rPr>
        <w:t>实际应用上，本课题想给教师和家长一个打开就能用的工具。管理端可以按学生查看逐次闯关记录、薄弱知识点排行、错题明细和同伴对战记录，教师据此能看出孩子具体卡在哪个知识点，而不只是一个正确率。系统不依赖付费服务即可完整运行，题库以独立JSON文件维护，学校或教师可以按自己的教学进度补充题目，不需要改动程序；运行数据存放在单个SQLite文件中，备份和迁移就是拷贝一个文件。对缺乏技术维护力量的中小学来说，这一点比功能数量更实际。</w:t>
      </w:r>
    </w:p>
    <w:p>
      <w:pPr>
        <w:spacing w:lineRule="exact" w:line="400" w:before="0" w:after="0"/>
        <w:jc w:val="left"/>
      </w:pPr>
      <w:r>
        <w:rPr>
          <w:rFonts w:ascii="Times New Roman" w:hAnsi="Times New Roman" w:eastAsia="宋体"/>
          <w:b/>
          <w:sz w:val="24"/>
        </w:rPr>
        <w:t>二、研究目的和内容</w:t>
      </w:r>
    </w:p>
    <w:p>
      <w:pPr>
        <w:spacing w:lineRule="exact" w:line="400" w:before="0" w:after="0"/>
        <w:ind w:firstLine="480"/>
        <w:jc w:val="left"/>
      </w:pPr>
      <w:r>
        <w:rPr>
          <w:rFonts w:ascii="Times New Roman" w:hAnsi="Times New Roman" w:eastAsia="宋体"/>
          <w:b/>
          <w:sz w:val="24"/>
        </w:rPr>
        <w:t>研究目的</w:t>
      </w:r>
    </w:p>
    <w:p>
      <w:pPr>
        <w:spacing w:lineRule="exact" w:line="400" w:before="0" w:after="0"/>
        <w:jc w:val="both"/>
      </w:pPr>
      <w:r>
        <w:rPr>
          <w:rFonts w:ascii="Times New Roman" w:hAnsi="Times New Roman" w:eastAsia="宋体"/>
          <w:b w:val="0"/>
          <w:sz w:val="24"/>
        </w:rPr>
        <w:t>本课题要解决的是，如何让中小学生在没有教师陪同的情况下完成一次有反馈的科普练习，并让练习结果对教师可见。具体要达到三个目标。一是可出题，学生说一个想学的主题，系统能在该学段范围内生成数量和难度合适的题目，生成失败时也能从内置题库抽题，不出现“出不了题”的情况。二是有反馈，每道题判完立即给出讲解和知识点，整局结束给出复盘，答错的题自动进入错题本并可反复练习。三是能持续，用等级与段位给长期目标，用同伴对战给短期刺激，同时避免把学习变成纯粹的比分竞争。</w:t>
      </w:r>
    </w:p>
    <w:p>
      <w:pPr>
        <w:spacing w:lineRule="exact" w:line="400" w:before="0" w:after="0"/>
        <w:ind w:firstLine="480"/>
        <w:jc w:val="left"/>
      </w:pPr>
      <w:r>
        <w:rPr>
          <w:rFonts w:ascii="Times New Roman" w:hAnsi="Times New Roman" w:eastAsia="宋体"/>
          <w:b/>
          <w:sz w:val="24"/>
        </w:rPr>
        <w:t>研究内容</w:t>
      </w:r>
    </w:p>
    <w:p>
      <w:pPr>
        <w:spacing w:lineRule="exact" w:line="400" w:before="0" w:after="0"/>
        <w:jc w:val="both"/>
      </w:pPr>
      <w:r>
        <w:rPr>
          <w:rFonts w:ascii="Times New Roman" w:hAnsi="Times New Roman" w:eastAsia="宋体"/>
          <w:b w:val="0"/>
          <w:sz w:val="24"/>
        </w:rPr>
        <w:t>本课题以“学生说出主题—系统现场出题—闯关答题—复盘报告—错题沉淀”为主线展开，研究内容包括需求分析、系统设计、功能实现与测试验证四个部分。需求分析阶段通过文献梳理与竞品分析明确学生、教师和家长三类角色的使用场景，划分功能需求与非功能需求，并完成技术、操作与社会三方面的可行性论证。系统设计阶段确定前后端分离的总体架构与分层结构，小程序端规划去闯关、答题闯关、复盘报告、错题本、知识库、个人中心六个页面，网页端在此之外另设同伴对战与成长阶梯两个入口，后端按路由层、业务服务层与数据访问层组织，数据库设计十一张数据表并给出概念模型。功能实现阶段完成六个基础模块：出题模块负责主题匹配、内容安全过滤、学段适配与降级抽题；答题与判题模块负责逐题比对、即时讲解、连对统计与经验值结算；复盘报告模块负责正确率、掌握度、薄弱知识点与逐题回顾的生成；错题本模块负责答错入库并累计错次、答对视为掌握后移出、按错次排序以及只练错题的组卷；知识库模块负责讲义上传、解析、分块与轻量检索增强出题；用户与个人中心模块负责账号注册登录、游客体验与数据合并、经验值等级与个人资料。在此基础上实现三项扩展功能：语文、数学、英语三大基础课程的题库与入口，使系统不只服务于科普主题；随机匹配对手的闯关对战，对手优先取真实同学在同一份试卷上的历史作答，无人可匹配时按学生段位生成实力相当的对手；以及由等级区间划分的八级段位成长阶梯，在页面上明确标出当前位置、到下一级的差距与最高段位。测试验证阶段采用接口功能测试、异常与降级测试、响应时间测试三类方法，覆盖学生端与管理端全部接口，并引入真实浏览器端到端测试与多视口界面审计，检查静态资源类型、布局溢出、点击目标尺寸与文字对比度是否达标，最终形成可复现的测试记录。</w:t>
      </w:r>
    </w:p>
    <w:p>
      <w:pPr>
        <w:spacing w:lineRule="exact" w:line="400" w:before="0" w:after="0"/>
        <w:jc w:val="left"/>
      </w:pPr>
      <w:r>
        <w:rPr>
          <w:rFonts w:ascii="Times New Roman" w:hAnsi="Times New Roman" w:eastAsia="宋体"/>
          <w:b/>
          <w:sz w:val="24"/>
        </w:rPr>
        <w:t>三、研究方法和步骤</w:t>
      </w:r>
    </w:p>
    <w:p>
      <w:pPr>
        <w:spacing w:lineRule="exact" w:line="400" w:before="0" w:after="0"/>
        <w:ind w:firstLine="480"/>
        <w:jc w:val="left"/>
      </w:pPr>
      <w:r>
        <w:rPr>
          <w:rFonts w:ascii="Times New Roman" w:hAnsi="Times New Roman" w:eastAsia="宋体"/>
          <w:b/>
          <w:sz w:val="24"/>
        </w:rPr>
        <w:t>研究方法</w:t>
      </w:r>
    </w:p>
    <w:p>
      <w:pPr>
        <w:spacing w:lineRule="exact" w:line="400" w:before="0" w:after="0"/>
        <w:jc w:val="both"/>
      </w:pPr>
      <w:r>
        <w:rPr>
          <w:rFonts w:ascii="Times New Roman" w:hAnsi="Times New Roman" w:eastAsia="宋体"/>
          <w:b w:val="0"/>
          <w:sz w:val="24"/>
        </w:rPr>
        <w:t>文献研究法。查阅国内外关于游戏化学习、移动学习、微信小程序开发、大语言模型提示工程与检索增强生成的文献，重点参考梁晴雪、徐金婵、聂鑫雨等人对教育类小程序的研究结论，明确既有产品在错题诊断、难度自适应与激励机制上的不足，作为本课题功能取舍的依据；技术部分参考检索增强生成的原始文献与FastAPI、微信小程序官方文档，确定技术路线。</w:t>
      </w:r>
    </w:p>
    <w:p>
      <w:pPr>
        <w:spacing w:lineRule="exact" w:line="400" w:before="0" w:after="0"/>
        <w:jc w:val="both"/>
      </w:pPr>
      <w:r>
        <w:rPr>
          <w:rFonts w:ascii="Times New Roman" w:hAnsi="Times New Roman" w:eastAsia="宋体"/>
          <w:b w:val="0"/>
          <w:sz w:val="24"/>
        </w:rPr>
        <w:t>行动研究法。实现过程按“做一项功能—写验收脚本—跑出问题—回改—复跑”循环推进，每完成一个模块就补一段可重复执行的检查脚本，把人工观察变成脚本判定。前期原型开发中据此发现并修正了若干问题，例如错题本页面在登录态尚未建立时就把请求发出去，导致答错的题看起来没有收录；同伴对战最初取用的对手数据是对方那一局的对手作答而非其本人作答，界面上标的“真实同学成绩”与实际数据不符；语文题库中一道关于“日”字笔顺的题目，解析写的是“第二笔是横折”，标答却指向了第一笔。这些问题都不是靠肉眼浏览代码能发现的，而是由校验规则抓出，也说明后续实现需要延续这种边做边验的方式。</w:t>
      </w:r>
    </w:p>
    <w:p>
      <w:pPr>
        <w:spacing w:lineRule="exact" w:line="400" w:before="0" w:after="0"/>
        <w:jc w:val="both"/>
      </w:pPr>
      <w:r>
        <w:rPr>
          <w:rFonts w:ascii="Times New Roman" w:hAnsi="Times New Roman" w:eastAsia="宋体"/>
          <w:b w:val="0"/>
          <w:sz w:val="24"/>
        </w:rPr>
        <w:t>个案研究法。选取小学低年级、小学高年级、初中三个学段各一名学生账号作为观察对象，走完注册、答题、复盘、错题复习、对战、段位提升的完整流程，通过管理端查看其答题记录与错题明细，检查系统记录的内容是否与学生的实际操作一致，作为功能是否达到预期目的的判断依据。</w:t>
      </w:r>
    </w:p>
    <w:p>
      <w:pPr>
        <w:spacing w:lineRule="exact" w:line="400" w:before="0" w:after="0"/>
        <w:ind w:firstLine="480"/>
        <w:jc w:val="left"/>
      </w:pPr>
      <w:r>
        <w:rPr>
          <w:rFonts w:ascii="Times New Roman" w:hAnsi="Times New Roman" w:eastAsia="宋体"/>
          <w:b/>
          <w:sz w:val="24"/>
        </w:rPr>
        <w:t>研究步骤</w:t>
      </w:r>
    </w:p>
    <w:p>
      <w:pPr>
        <w:spacing w:lineRule="exact" w:line="360" w:before="0" w:after="0"/>
        <w:ind w:left="480"/>
        <w:jc w:val="both"/>
      </w:pPr>
      <w:r>
        <w:rPr>
          <w:rFonts w:ascii="Times New Roman" w:hAnsi="Times New Roman" w:eastAsia="宋体"/>
          <w:b w:val="0"/>
          <w:sz w:val="24"/>
        </w:rPr>
        <w:t>1. 确定题目。结合专业方向与个人兴趣，在指导教师建议下确定选题为中小学生科普知识闯关小程序的设计与实现，明确研究对象是小学低年级至初中的学生，研究边界限定在科普与基础课程两类内容。</w:t>
      </w:r>
    </w:p>
    <w:p>
      <w:pPr>
        <w:spacing w:lineRule="exact" w:line="360" w:before="0" w:after="0"/>
        <w:ind w:left="480"/>
        <w:jc w:val="both"/>
      </w:pPr>
      <w:r>
        <w:rPr>
          <w:rFonts w:ascii="Times New Roman" w:hAnsi="Times New Roman" w:eastAsia="宋体"/>
          <w:b w:val="0"/>
          <w:sz w:val="24"/>
        </w:rPr>
        <w:t>2. 准备工作。制定研究计划并查阅收集相关文献资料，梳理教育类小程序与答题类产品的现状，完成需求分析与可行性论证，搭建Python、FastAPI、SQLite与微信开发者工具的开发环境，撰写开题报告并形成研究方案。</w:t>
      </w:r>
    </w:p>
    <w:p>
      <w:pPr>
        <w:spacing w:lineRule="exact" w:line="360" w:before="0" w:after="0"/>
        <w:ind w:left="480"/>
        <w:jc w:val="both"/>
      </w:pPr>
      <w:r>
        <w:rPr>
          <w:rFonts w:ascii="Times New Roman" w:hAnsi="Times New Roman" w:eastAsia="宋体"/>
          <w:b w:val="0"/>
          <w:sz w:val="24"/>
        </w:rPr>
        <w:t>3. 进行研究。按系统设计与功能实现的顺序推进：先完成数据库设计与接口约定，再依次实现出题、判题、复盘、错题本、知识库与账号模块，随后补充基础课程题库、同伴对战与段位阶梯三项扩展功能；每完成一部分即编写并运行验收脚本，同时用浏览器实际操作界面，记录出现的问题并回改。</w:t>
      </w:r>
    </w:p>
    <w:p>
      <w:pPr>
        <w:spacing w:lineRule="exact" w:line="360" w:before="0" w:after="0"/>
        <w:ind w:left="480"/>
        <w:jc w:val="both"/>
      </w:pPr>
      <w:r>
        <w:rPr>
          <w:rFonts w:ascii="Times New Roman" w:hAnsi="Times New Roman" w:eastAsia="宋体"/>
          <w:b w:val="0"/>
          <w:sz w:val="24"/>
        </w:rPr>
        <w:t>4. 归纳总结。汇总测试结果与开发过程中暴露的问题，分析系统在出题质量、学段适配与降级可用性上的实际表现，整理题库与运行数据，撰写论文并形成可交付的系统。</w:t>
      </w:r>
    </w:p>
    <w:p>
      <w:pPr>
        <w:spacing w:lineRule="exact" w:line="400" w:before="0" w:after="0"/>
        <w:jc w:val="left"/>
      </w:pPr>
      <w:r>
        <w:rPr>
          <w:rFonts w:ascii="Times New Roman" w:hAnsi="Times New Roman" w:eastAsia="宋体"/>
          <w:b/>
          <w:sz w:val="24"/>
        </w:rPr>
        <w:t>四、拟解决的关键问题</w:t>
      </w:r>
    </w:p>
    <w:p>
      <w:pPr>
        <w:spacing w:lineRule="exact" w:line="360" w:before="0" w:after="0"/>
        <w:ind w:left="480"/>
        <w:jc w:val="both"/>
      </w:pPr>
      <w:r>
        <w:rPr>
          <w:rFonts w:ascii="Times New Roman" w:hAnsi="Times New Roman" w:eastAsia="宋体"/>
          <w:b w:val="0"/>
          <w:sz w:val="24"/>
        </w:rPr>
        <w:t>1. 大模型出题的结构与内容不可控。模型返回的题目可能出现字段缺失、选项重复、答案越界或内容不适龄等情况，无法直接下发。要处理的是三件事：调用侧约束输出结构，接收侧逐题校验并丢弃不合规题目，数量不足时用内置题库补齐，使最终下发的题目在结构、数量与内容安全上都满足要求，同时保证模型不可用时系统仍然可用。</w:t>
      </w:r>
    </w:p>
    <w:p>
      <w:pPr>
        <w:spacing w:lineRule="exact" w:line="360" w:before="0" w:after="0"/>
        <w:ind w:left="480"/>
        <w:jc w:val="both"/>
      </w:pPr>
      <w:r>
        <w:rPr>
          <w:rFonts w:ascii="Times New Roman" w:hAnsi="Times New Roman" w:eastAsia="宋体"/>
          <w:b w:val="0"/>
          <w:sz w:val="24"/>
        </w:rPr>
        <w:t>2. 学段适配如何从提法变成可校验的约束。不同学段的学生在阅读能力与知识范围上差别很大，仅调整题量不足以避免超纲。这里要落实的是一组具体参数：各学段的题量、题干长度上限、选项长度上限，以及题库本身的分级存放；此外还需确认低年级与初中之间不出现题干重复，使分级不只是标签上的区分。</w:t>
      </w:r>
    </w:p>
    <w:p>
      <w:pPr>
        <w:spacing w:lineRule="exact" w:line="360" w:before="0" w:after="0"/>
        <w:ind w:left="480"/>
        <w:jc w:val="both"/>
      </w:pPr>
      <w:r>
        <w:rPr>
          <w:rFonts w:ascii="Times New Roman" w:hAnsi="Times New Roman" w:eastAsia="宋体"/>
          <w:b w:val="0"/>
          <w:sz w:val="24"/>
        </w:rPr>
        <w:t>3. 错题处理如何贯穿多个模块并保持语义一致。现有产品多把错题当作一条记录，答完就不再使用。难点在于让错题在答错、答对、复习、对战几种路径下保持一致：答错时入库并累计错次，答对时视为已掌握并移出，只练错题时不依赖出题服务，同伴对战中答错的题也要进入错题本，避免同一道题在不同入口下状态互不相同。</w:t>
      </w:r>
    </w:p>
    <w:p>
      <w:pPr>
        <w:spacing w:lineRule="exact" w:line="360" w:before="0" w:after="0"/>
        <w:ind w:left="480"/>
        <w:jc w:val="both"/>
      </w:pPr>
      <w:r>
        <w:rPr>
          <w:rFonts w:ascii="Times New Roman" w:hAnsi="Times New Roman" w:eastAsia="宋体"/>
          <w:b w:val="0"/>
          <w:sz w:val="24"/>
        </w:rPr>
        <w:t>4. 异步同伴对战的公平性与对手来源真实性。同伴对战要求双方做同一套题才有比较意义，关键在于试卷一致与对手数据真实：同一学段同一主题下应生成同一份试卷，对手优先取真实同学在该份试卷上的历史作答，匹配不到时才生成水平相当的机器人兜底，使单人使用环境下对战仍可进行，同时不能把机器人数据标注成真人成绩。</w:t>
      </w:r>
    </w:p>
    <w:p>
      <w:pPr>
        <w:spacing w:lineRule="exact" w:line="400" w:before="0" w:after="0"/>
        <w:jc w:val="left"/>
      </w:pPr>
      <w:r>
        <w:rPr>
          <w:rFonts w:ascii="Times New Roman" w:hAnsi="Times New Roman" w:eastAsia="宋体"/>
          <w:b/>
          <w:sz w:val="24"/>
        </w:rPr>
        <w:t>五、进度安排</w:t>
      </w:r>
    </w:p>
    <w:tbl>
      <w:tblPr>
        <w:tblW w:type="auto" w:w="0"/>
        <w:jc w:val="center"/>
        <w:tblLayout w:type="autofit"/>
        <w:tblLook w:firstColumn="1" w:firstRow="1" w:lastColumn="0" w:lastRow="0" w:noHBand="0" w:noVBand="1" w:val="04A0"/>
      </w:tblPr>
      <w:tblGrid>
        <w:gridCol w:w="4703"/>
        <w:gridCol w:w="4703"/>
      </w:tblGrid>
      <w:tr>
        <w:tc>
          <w:tcPr>
            <w:tcW w:type="dxa" w:w="1512"/>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学期</w:t>
            </w:r>
          </w:p>
        </w:tc>
        <w:tc>
          <w:tcPr>
            <w:tcW w:type="dxa" w:w="755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工作任务</w:t>
            </w:r>
          </w:p>
        </w:tc>
      </w:tr>
      <w:tr>
        <w:tc>
          <w:tcPr>
            <w:tcW w:type="dxa" w:w="1512"/>
            <w:tcBorders/>
          </w:tcPr>
          <w:p>
            <w:pPr>
              <w:spacing w:lineRule="exact" w:line="280" w:before="0" w:after="0"/>
              <w:jc w:val="center"/>
            </w:pPr>
            <w:r/>
            <w:r>
              <w:rPr>
                <w:rFonts w:ascii="Times New Roman" w:hAnsi="Times New Roman" w:eastAsia="宋体"/>
                <w:b w:val="0"/>
                <w:sz w:val="21"/>
              </w:rPr>
              <w:t>学年第一学期</w:t>
            </w:r>
          </w:p>
        </w:tc>
        <w:tc>
          <w:tcPr>
            <w:tcW w:type="dxa" w:w="7559"/>
            <w:tcBorders/>
          </w:tcPr>
          <w:p>
            <w:pPr>
              <w:spacing w:lineRule="exact" w:line="280" w:before="0" w:after="0"/>
              <w:jc w:val="center"/>
            </w:pPr>
            <w:r/>
            <w:r>
              <w:rPr>
                <w:rFonts w:ascii="Times New Roman" w:hAnsi="Times New Roman" w:eastAsia="宋体"/>
                <w:b w:val="0"/>
                <w:sz w:val="21"/>
              </w:rPr>
              <w:t>进行毕业论文（设计）双选；确定毕业论文（设计）选题；查阅收集相关文献资料。</w:t>
            </w:r>
          </w:p>
        </w:tc>
      </w:tr>
      <w:tr>
        <w:tc>
          <w:tcPr>
            <w:tcW w:type="dxa" w:w="1512"/>
            <w:tcBorders/>
          </w:tcPr>
          <w:p>
            <w:pPr>
              <w:spacing w:lineRule="exact" w:line="280" w:before="0" w:after="0"/>
              <w:jc w:val="center"/>
            </w:pPr>
            <w:r/>
            <w:r>
              <w:rPr>
                <w:rFonts w:ascii="Times New Roman" w:hAnsi="Times New Roman" w:eastAsia="宋体"/>
                <w:b w:val="0"/>
                <w:sz w:val="21"/>
              </w:rPr>
              <w:t>学年第一学期</w:t>
            </w:r>
          </w:p>
        </w:tc>
        <w:tc>
          <w:tcPr>
            <w:tcW w:type="dxa" w:w="7559"/>
            <w:tcBorders/>
          </w:tcPr>
          <w:p>
            <w:pPr>
              <w:spacing w:lineRule="exact" w:line="280" w:before="0" w:after="0"/>
              <w:jc w:val="center"/>
            </w:pPr>
            <w:r/>
            <w:r>
              <w:rPr>
                <w:rFonts w:ascii="Times New Roman" w:hAnsi="Times New Roman" w:eastAsia="宋体"/>
                <w:b w:val="0"/>
                <w:sz w:val="21"/>
              </w:rPr>
              <w:t>指导教师下达毕业论文（设计）任务书；理解题目的任务、目的、要求及全部工作内容。</w:t>
            </w:r>
          </w:p>
        </w:tc>
      </w:tr>
      <w:tr>
        <w:tc>
          <w:tcPr>
            <w:tcW w:type="dxa" w:w="1512"/>
            <w:tcBorders/>
          </w:tcPr>
          <w:p>
            <w:pPr>
              <w:spacing w:lineRule="exact" w:line="280" w:before="0" w:after="0"/>
              <w:jc w:val="center"/>
            </w:pPr>
            <w:r/>
            <w:r>
              <w:rPr>
                <w:rFonts w:ascii="Times New Roman" w:hAnsi="Times New Roman" w:eastAsia="宋体"/>
                <w:b w:val="0"/>
                <w:sz w:val="21"/>
              </w:rPr>
              <w:t>学年第一学期</w:t>
            </w:r>
          </w:p>
        </w:tc>
        <w:tc>
          <w:tcPr>
            <w:tcW w:type="dxa" w:w="7559"/>
            <w:tcBorders/>
          </w:tcPr>
          <w:p>
            <w:pPr>
              <w:spacing w:lineRule="exact" w:line="280" w:before="0" w:after="0"/>
              <w:jc w:val="center"/>
            </w:pPr>
            <w:r/>
            <w:r>
              <w:rPr>
                <w:rFonts w:ascii="Times New Roman" w:hAnsi="Times New Roman" w:eastAsia="宋体"/>
                <w:b w:val="0"/>
                <w:sz w:val="21"/>
              </w:rPr>
              <w:t>阅读相关文献资料，完成需求分析与系统设计；撰写毕业论文（设计）开题报告，形成研究方案。</w:t>
            </w:r>
          </w:p>
        </w:tc>
      </w:tr>
      <w:tr>
        <w:tc>
          <w:tcPr>
            <w:tcW w:type="dxa" w:w="1512"/>
            <w:tcBorders/>
          </w:tcPr>
          <w:p>
            <w:pPr>
              <w:spacing w:lineRule="exact" w:line="280" w:before="0" w:after="0"/>
              <w:jc w:val="center"/>
            </w:pPr>
            <w:r/>
            <w:r>
              <w:rPr>
                <w:rFonts w:ascii="Times New Roman" w:hAnsi="Times New Roman" w:eastAsia="宋体"/>
                <w:b w:val="0"/>
                <w:sz w:val="21"/>
              </w:rPr>
              <w:t>学年第一学期</w:t>
            </w:r>
          </w:p>
        </w:tc>
        <w:tc>
          <w:tcPr>
            <w:tcW w:type="dxa" w:w="7559"/>
            <w:tcBorders/>
          </w:tcPr>
          <w:p>
            <w:pPr>
              <w:spacing w:lineRule="exact" w:line="280" w:before="0" w:after="0"/>
              <w:jc w:val="center"/>
            </w:pPr>
            <w:r/>
            <w:r>
              <w:rPr>
                <w:rFonts w:ascii="Times New Roman" w:hAnsi="Times New Roman" w:eastAsia="宋体"/>
                <w:b w:val="0"/>
                <w:sz w:val="21"/>
              </w:rPr>
              <w:t>毕业论文（设计）开题答辩。</w:t>
            </w:r>
          </w:p>
        </w:tc>
      </w:tr>
      <w:tr>
        <w:tc>
          <w:tcPr>
            <w:tcW w:type="dxa" w:w="1512"/>
            <w:tcBorders/>
          </w:tcPr>
          <w:p>
            <w:pPr>
              <w:spacing w:lineRule="exact" w:line="280" w:before="0" w:after="0"/>
              <w:jc w:val="center"/>
            </w:pPr>
            <w:r/>
            <w:r>
              <w:rPr>
                <w:rFonts w:ascii="Times New Roman" w:hAnsi="Times New Roman" w:eastAsia="宋体"/>
                <w:b w:val="0"/>
                <w:sz w:val="21"/>
              </w:rPr>
              <w:t>学年第二学期</w:t>
            </w:r>
          </w:p>
        </w:tc>
        <w:tc>
          <w:tcPr>
            <w:tcW w:type="dxa" w:w="7559"/>
            <w:tcBorders/>
          </w:tcPr>
          <w:p>
            <w:pPr>
              <w:spacing w:lineRule="exact" w:line="280" w:before="0" w:after="0"/>
              <w:jc w:val="center"/>
            </w:pPr>
            <w:r/>
            <w:r>
              <w:rPr>
                <w:rFonts w:ascii="Times New Roman" w:hAnsi="Times New Roman" w:eastAsia="宋体"/>
                <w:b w:val="0"/>
                <w:sz w:val="21"/>
              </w:rPr>
              <w:t>完成系统功能实现与测试；形成毕业论文（设计）初稿，接受毕业论文（设计）中期检查。</w:t>
            </w:r>
          </w:p>
        </w:tc>
      </w:tr>
      <w:tr>
        <w:tc>
          <w:tcPr>
            <w:tcW w:type="dxa" w:w="1512"/>
            <w:tcBorders/>
          </w:tcPr>
          <w:p>
            <w:pPr>
              <w:spacing w:lineRule="exact" w:line="280" w:before="0" w:after="0"/>
              <w:jc w:val="center"/>
            </w:pPr>
            <w:r/>
            <w:r>
              <w:rPr>
                <w:rFonts w:ascii="Times New Roman" w:hAnsi="Times New Roman" w:eastAsia="宋体"/>
                <w:b w:val="0"/>
                <w:sz w:val="21"/>
              </w:rPr>
              <w:t>学年第二学期</w:t>
            </w:r>
          </w:p>
        </w:tc>
        <w:tc>
          <w:tcPr>
            <w:tcW w:type="dxa" w:w="7559"/>
            <w:tcBorders/>
          </w:tcPr>
          <w:p>
            <w:pPr>
              <w:spacing w:lineRule="exact" w:line="280" w:before="0" w:after="0"/>
              <w:jc w:val="center"/>
            </w:pPr>
            <w:r/>
            <w:r>
              <w:rPr>
                <w:rFonts w:ascii="Times New Roman" w:hAnsi="Times New Roman" w:eastAsia="宋体"/>
                <w:b w:val="0"/>
                <w:sz w:val="21"/>
              </w:rPr>
              <w:t>根据检查结果和指导教师意见，修正研究中的不足，完善系统与论文，形成定稿。</w:t>
            </w:r>
          </w:p>
        </w:tc>
      </w:tr>
      <w:tr>
        <w:tc>
          <w:tcPr>
            <w:tcW w:type="dxa" w:w="1512"/>
            <w:tcBorders/>
          </w:tcPr>
          <w:p>
            <w:pPr>
              <w:spacing w:lineRule="exact" w:line="280" w:before="0" w:after="0"/>
              <w:jc w:val="center"/>
            </w:pPr>
            <w:r/>
            <w:r>
              <w:rPr>
                <w:rFonts w:ascii="Times New Roman" w:hAnsi="Times New Roman" w:eastAsia="宋体"/>
                <w:b w:val="0"/>
                <w:sz w:val="21"/>
              </w:rPr>
              <w:t>学年第二学期</w:t>
            </w:r>
          </w:p>
        </w:tc>
        <w:tc>
          <w:tcPr>
            <w:tcW w:type="dxa" w:w="7559"/>
            <w:tcBorders/>
          </w:tcPr>
          <w:p>
            <w:pPr>
              <w:spacing w:lineRule="exact" w:line="280" w:before="0" w:after="0"/>
              <w:jc w:val="center"/>
            </w:pPr>
            <w:r/>
            <w:r>
              <w:rPr>
                <w:rFonts w:ascii="Times New Roman" w:hAnsi="Times New Roman" w:eastAsia="宋体"/>
                <w:b w:val="0"/>
                <w:sz w:val="21"/>
              </w:rPr>
              <w:t>审阅本组论文（设计）；毕业论文（设计）学术不端行为检测；填写本科毕业论文（设计）答辩申请表。</w:t>
            </w:r>
          </w:p>
        </w:tc>
      </w:tr>
      <w:tr>
        <w:tc>
          <w:tcPr>
            <w:tcW w:type="dxa" w:w="1512"/>
            <w:tcBorders/>
          </w:tcPr>
          <w:p>
            <w:pPr>
              <w:spacing w:lineRule="exact" w:line="280" w:before="0" w:after="0"/>
              <w:jc w:val="center"/>
            </w:pPr>
            <w:r/>
            <w:r>
              <w:rPr>
                <w:rFonts w:ascii="Times New Roman" w:hAnsi="Times New Roman" w:eastAsia="宋体"/>
                <w:b w:val="0"/>
                <w:sz w:val="21"/>
              </w:rPr>
              <w:t>学年第二学期</w:t>
            </w:r>
          </w:p>
        </w:tc>
        <w:tc>
          <w:tcPr>
            <w:tcW w:type="dxa" w:w="7559"/>
            <w:tcBorders/>
          </w:tcPr>
          <w:p>
            <w:pPr>
              <w:spacing w:lineRule="exact" w:line="280" w:before="0" w:after="0"/>
              <w:jc w:val="center"/>
            </w:pPr>
            <w:r/>
            <w:r>
              <w:rPr>
                <w:rFonts w:ascii="Times New Roman" w:hAnsi="Times New Roman" w:eastAsia="宋体"/>
                <w:b w:val="0"/>
                <w:sz w:val="21"/>
              </w:rPr>
              <w:t>提交答辩申请表，进行毕业论文（设计）答辩。</w:t>
            </w:r>
          </w:p>
        </w:tc>
      </w:tr>
      <w:tr>
        <w:tc>
          <w:tcPr>
            <w:tcW w:type="dxa" w:w="1512"/>
            <w:tcBorders>
              <w:bottom w:val="single" w:sz="12" w:color="000000"/>
            </w:tcBorders>
          </w:tcPr>
          <w:p>
            <w:pPr>
              <w:spacing w:lineRule="exact" w:line="280" w:before="0" w:after="0"/>
              <w:jc w:val="center"/>
            </w:pPr>
            <w:r/>
            <w:r>
              <w:rPr>
                <w:rFonts w:ascii="Times New Roman" w:hAnsi="Times New Roman" w:eastAsia="宋体"/>
                <w:b w:val="0"/>
                <w:sz w:val="21"/>
              </w:rPr>
              <w:t>学年第二学期</w:t>
            </w:r>
          </w:p>
        </w:tc>
        <w:tc>
          <w:tcPr>
            <w:tcW w:type="dxa" w:w="7559"/>
            <w:tcBorders>
              <w:bottom w:val="single" w:sz="12" w:color="000000"/>
            </w:tcBorders>
          </w:tcPr>
          <w:p>
            <w:pPr>
              <w:spacing w:lineRule="exact" w:line="280" w:before="0" w:after="0"/>
              <w:jc w:val="center"/>
            </w:pPr>
            <w:r/>
            <w:r>
              <w:rPr>
                <w:rFonts w:ascii="Times New Roman" w:hAnsi="Times New Roman" w:eastAsia="宋体"/>
                <w:b w:val="0"/>
                <w:sz w:val="21"/>
              </w:rPr>
              <w:t>完成毕业论文（设计）相关材料归档。</w:t>
            </w:r>
          </w:p>
        </w:tc>
      </w:tr>
    </w:tbl>
    <w:p/>
    <w:p>
      <w:pPr>
        <w:spacing w:lineRule="exact" w:line="400" w:before="0" w:after="0"/>
        <w:jc w:val="left"/>
      </w:pPr>
      <w:r>
        <w:rPr>
          <w:rFonts w:ascii="Times New Roman" w:hAnsi="Times New Roman" w:eastAsia="宋体"/>
          <w:b/>
          <w:sz w:val="24"/>
        </w:rPr>
        <w:t>六、每周指导时间、地点安排及论文（设计）纪律要求</w:t>
      </w:r>
    </w:p>
    <w:p>
      <w:pPr>
        <w:spacing w:lineRule="exact" w:line="400" w:before="0" w:after="0"/>
        <w:jc w:val="both"/>
      </w:pPr>
      <w:r>
        <w:rPr>
          <w:rFonts w:ascii="Times New Roman" w:hAnsi="Times New Roman" w:eastAsia="宋体"/>
          <w:b w:val="0"/>
          <w:sz w:val="24"/>
        </w:rPr>
        <w:t>指导时间：（由指导教师根据实际情况填写）</w:t>
      </w:r>
    </w:p>
    <w:p>
      <w:pPr>
        <w:spacing w:lineRule="exact" w:line="400" w:before="0" w:after="0"/>
        <w:jc w:val="both"/>
      </w:pPr>
      <w:r>
        <w:rPr>
          <w:rFonts w:ascii="Times New Roman" w:hAnsi="Times New Roman" w:eastAsia="宋体"/>
          <w:b w:val="0"/>
          <w:sz w:val="24"/>
        </w:rPr>
        <w:t>地点安排：指导教师办公室</w:t>
      </w:r>
    </w:p>
    <w:p>
      <w:pPr>
        <w:spacing w:lineRule="exact" w:line="400" w:before="0" w:after="0"/>
        <w:jc w:val="both"/>
      </w:pPr>
      <w:r>
        <w:rPr>
          <w:rFonts w:ascii="Times New Roman" w:hAnsi="Times New Roman" w:eastAsia="宋体"/>
          <w:b w:val="0"/>
          <w:sz w:val="24"/>
        </w:rPr>
        <w:t>纪律要求：按学校关于毕业论文（设计）的有关规定执行。论文与系统由本人独立完成，引用他人成果须在参考文献中如实标注，不得抄袭、代做或篡改数据；按进度安排的时间节点提交各阶段材料，接受中期检查与学术不端行为检测；主动与指导教师联系，如实汇报研究进展与遇到的问题，对指导教师提出的修改意见逐条落实并说明处理情况。</w:t>
      </w:r>
    </w:p>
    <w:p>
      <w:pPr>
        <w:spacing w:lineRule="exact" w:line="400" w:before="0" w:after="0"/>
        <w:jc w:val="left"/>
      </w:pPr>
      <w:r>
        <w:rPr>
          <w:rFonts w:ascii="Times New Roman" w:hAnsi="Times New Roman" w:eastAsia="宋体"/>
          <w:b/>
          <w:sz w:val="24"/>
        </w:rPr>
        <w:t>参考文献</w:t>
      </w:r>
    </w:p>
    <w:p>
      <w:pPr>
        <w:spacing w:lineRule="exact" w:line="400" w:before="0" w:after="0"/>
        <w:jc w:val="both"/>
      </w:pPr>
      <w:r>
        <w:rPr>
          <w:rFonts w:ascii="Times New Roman" w:hAnsi="Times New Roman" w:eastAsia="宋体"/>
          <w:b w:val="0"/>
          <w:sz w:val="24"/>
        </w:rPr>
        <w:t>[1] 陆道坤. 颠覆与重构: DeepSeek引发的教育领域“蝴蝶效应”及应对[J]. 新疆师范大学学报(哲学社会科学版), 2025, 46(4): 123-131.</w:t>
      </w:r>
    </w:p>
    <w:p>
      <w:pPr>
        <w:spacing w:lineRule="exact" w:line="400" w:before="0" w:after="0"/>
        <w:jc w:val="both"/>
      </w:pPr>
      <w:r>
        <w:rPr>
          <w:rFonts w:ascii="Times New Roman" w:hAnsi="Times New Roman" w:eastAsia="宋体"/>
          <w:b w:val="0"/>
          <w:sz w:val="24"/>
        </w:rPr>
        <w:t>[2] 陈文智. AI重塑教育, DeepSeek催生教育新纪元[J]. 教育家, 2025(8): 1.</w:t>
      </w:r>
    </w:p>
    <w:p>
      <w:pPr>
        <w:spacing w:lineRule="exact" w:line="400" w:before="0" w:after="0"/>
        <w:jc w:val="both"/>
      </w:pPr>
      <w:r>
        <w:rPr>
          <w:rFonts w:ascii="Times New Roman" w:hAnsi="Times New Roman" w:eastAsia="宋体"/>
          <w:b w:val="0"/>
          <w:sz w:val="24"/>
        </w:rPr>
        <w:t>[3] 王闻萱, 王丹. 中国生成式人工智能DeepSeek的核心特征、价值超越及未来路向[J]. 统一战线学研究, 2025(2): 1-14.</w:t>
      </w:r>
    </w:p>
    <w:p>
      <w:pPr>
        <w:spacing w:lineRule="exact" w:line="400" w:before="0" w:after="0"/>
        <w:jc w:val="both"/>
      </w:pPr>
      <w:r>
        <w:rPr>
          <w:rFonts w:ascii="Times New Roman" w:hAnsi="Times New Roman" w:eastAsia="宋体"/>
          <w:b w:val="0"/>
          <w:sz w:val="24"/>
        </w:rPr>
        <w:t>[4] 马庆祥. 微信小程序在教育领域的应用探析[J]. 计算机产品与流通, 2019(8): 227.</w:t>
      </w:r>
    </w:p>
    <w:p>
      <w:pPr>
        <w:spacing w:lineRule="exact" w:line="400" w:before="0" w:after="0"/>
        <w:jc w:val="both"/>
      </w:pPr>
      <w:r>
        <w:rPr>
          <w:rFonts w:ascii="Times New Roman" w:hAnsi="Times New Roman" w:eastAsia="宋体"/>
          <w:b w:val="0"/>
          <w:sz w:val="24"/>
        </w:rPr>
        <w:t>[5] 孙磊, 等. 微信小程序在新时代“互联网+教育”中的作用与建设[J]. 黑河学院学报, 2023(9): 102-104.</w:t>
      </w:r>
    </w:p>
    <w:p>
      <w:pPr>
        <w:spacing w:lineRule="exact" w:line="400" w:before="0" w:after="0"/>
        <w:jc w:val="both"/>
      </w:pPr>
      <w:r>
        <w:rPr>
          <w:rFonts w:ascii="Times New Roman" w:hAnsi="Times New Roman" w:eastAsia="宋体"/>
          <w:b w:val="0"/>
          <w:sz w:val="24"/>
        </w:rPr>
        <w:t>[6] 毛凌志. 基于uni-app满分教育小程序设计与实现[J]. 数字技术与应用, 2021, 39(11): 196-198.</w:t>
      </w:r>
    </w:p>
    <w:p>
      <w:pPr>
        <w:spacing w:lineRule="exact" w:line="400" w:before="0" w:after="0"/>
        <w:jc w:val="both"/>
      </w:pPr>
      <w:r>
        <w:rPr>
          <w:rFonts w:ascii="Times New Roman" w:hAnsi="Times New Roman" w:eastAsia="宋体"/>
          <w:b w:val="0"/>
          <w:sz w:val="24"/>
        </w:rPr>
        <w:t>[7] 韦彩仁, 张锐杭. 基于uni-app小程序开发的信息管理系统学生端[J]. 电脑编程技巧与维护, 2024(11): 70-72+120.</w:t>
      </w:r>
    </w:p>
    <w:p>
      <w:pPr>
        <w:spacing w:lineRule="exact" w:line="400" w:before="0" w:after="0"/>
        <w:jc w:val="both"/>
      </w:pPr>
      <w:r>
        <w:rPr>
          <w:rFonts w:ascii="Times New Roman" w:hAnsi="Times New Roman" w:eastAsia="宋体"/>
          <w:b w:val="0"/>
          <w:sz w:val="24"/>
        </w:rPr>
        <w:t>[8] 史桂红. 基于uni-app的校园闲置物品回收小程序的设计与实现[J]. 无线互联科技, 2023(24): 71-74.</w:t>
      </w:r>
    </w:p>
    <w:p>
      <w:pPr>
        <w:spacing w:lineRule="exact" w:line="400" w:before="0" w:after="0"/>
        <w:jc w:val="both"/>
      </w:pPr>
      <w:r>
        <w:rPr>
          <w:rFonts w:ascii="Times New Roman" w:hAnsi="Times New Roman" w:eastAsia="宋体"/>
          <w:b w:val="0"/>
          <w:sz w:val="24"/>
        </w:rPr>
        <w:t>[9] 曹育红. 数学游戏: 低年级口算教学生态化的有效策略[J]. 小学教学研究, 2023(5): 45-47.</w:t>
      </w:r>
    </w:p>
    <w:p>
      <w:pPr>
        <w:spacing w:lineRule="exact" w:line="400" w:before="0" w:after="0"/>
        <w:jc w:val="both"/>
      </w:pPr>
      <w:r>
        <w:rPr>
          <w:rFonts w:ascii="Times New Roman" w:hAnsi="Times New Roman" w:eastAsia="宋体"/>
          <w:b w:val="0"/>
          <w:sz w:val="24"/>
        </w:rPr>
        <w:t>[10] 丘燕飞. 小学口算能力: 问题缘起、成因与培养策略[J]. 小学教学研究, 2023(26): 80-81+84.</w:t>
      </w:r>
    </w:p>
    <w:p>
      <w:pPr>
        <w:spacing w:lineRule="exact" w:line="400" w:before="0" w:after="0"/>
        <w:jc w:val="both"/>
      </w:pPr>
      <w:r>
        <w:rPr>
          <w:rFonts w:ascii="Times New Roman" w:hAnsi="Times New Roman" w:eastAsia="宋体"/>
          <w:b w:val="0"/>
          <w:sz w:val="24"/>
        </w:rPr>
        <w:t>[11] 梁晴雪. 基于DeepSeek的小学数学口算小程序的设计与开发[D]. 广州: 广东技术师范大学, 2026.</w:t>
      </w:r>
    </w:p>
    <w:p>
      <w:pPr>
        <w:spacing w:lineRule="exact" w:line="400" w:before="0" w:after="0"/>
        <w:jc w:val="both"/>
      </w:pPr>
      <w:r>
        <w:rPr>
          <w:rFonts w:ascii="Times New Roman" w:hAnsi="Times New Roman" w:eastAsia="宋体"/>
          <w:b w:val="0"/>
          <w:sz w:val="24"/>
        </w:rPr>
        <w:t>[12] 徐金婵. 基于交互式体验的校园植物科普小程序开发与应用研究[D]. 广州: 广东技术师范大学, 2025.</w:t>
      </w:r>
    </w:p>
    <w:p>
      <w:pPr>
        <w:spacing w:lineRule="exact" w:line="400" w:before="0" w:after="0"/>
        <w:jc w:val="both"/>
      </w:pPr>
      <w:r>
        <w:rPr>
          <w:rFonts w:ascii="Times New Roman" w:hAnsi="Times New Roman" w:eastAsia="宋体"/>
          <w:b w:val="0"/>
          <w:sz w:val="24"/>
        </w:rPr>
        <w:t>[13] 聂鑫雨. 新媒体背景下科普小程序的开发与研究[D]. 济南: 山东师范大学, 2022.</w:t>
      </w:r>
    </w:p>
    <w:p>
      <w:pPr>
        <w:spacing w:lineRule="exact" w:line="400" w:before="0" w:after="0"/>
        <w:jc w:val="both"/>
      </w:pPr>
      <w:r>
        <w:rPr>
          <w:rFonts w:ascii="Times New Roman" w:hAnsi="Times New Roman" w:eastAsia="宋体"/>
          <w:b w:val="0"/>
          <w:sz w:val="24"/>
        </w:rPr>
        <w:t>[14] 马轶群. 小学数学运算练习微信小程序的设计与开发研究[D]. 济宁: 曲阜师范大学, 2024.</w:t>
      </w:r>
    </w:p>
    <w:p>
      <w:pPr>
        <w:spacing w:lineRule="exact" w:line="400" w:before="0" w:after="0"/>
        <w:jc w:val="both"/>
      </w:pPr>
      <w:r>
        <w:rPr>
          <w:rFonts w:ascii="Times New Roman" w:hAnsi="Times New Roman" w:eastAsia="宋体"/>
          <w:b w:val="0"/>
          <w:sz w:val="24"/>
        </w:rPr>
        <w:t>[15] 梁骁. 基于微信小程序的移动学习平台建设与应用研究[D]. 牡丹江: 牡丹江师范学院, 2021.</w:t>
      </w:r>
    </w:p>
    <w:p>
      <w:pPr>
        <w:spacing w:lineRule="exact" w:line="400" w:before="0" w:after="0"/>
        <w:jc w:val="both"/>
      </w:pPr>
      <w:r>
        <w:rPr>
          <w:rFonts w:ascii="Times New Roman" w:hAnsi="Times New Roman" w:eastAsia="宋体"/>
          <w:b w:val="0"/>
          <w:sz w:val="24"/>
        </w:rPr>
        <w:t>[16] 吕翠莲. 作业辅导微信小程序的开发及教学应用研究[D]. 昆明: 云南大学, 2020.</w:t>
      </w:r>
    </w:p>
    <w:p>
      <w:pPr>
        <w:spacing w:lineRule="exact" w:line="400" w:before="0" w:after="0"/>
        <w:jc w:val="both"/>
      </w:pPr>
      <w:r>
        <w:rPr>
          <w:rFonts w:ascii="Times New Roman" w:hAnsi="Times New Roman" w:eastAsia="宋体"/>
          <w:b w:val="0"/>
          <w:sz w:val="24"/>
        </w:rPr>
        <w:t>[17] 王磊. 基于深度学习的小学数学辅助学习系统设计与实现[D]. 北京: 北京交通大学, 2022.</w:t>
      </w:r>
    </w:p>
    <w:p>
      <w:pPr>
        <w:spacing w:lineRule="exact" w:line="400" w:before="0" w:after="0"/>
        <w:jc w:val="both"/>
      </w:pPr>
      <w:r>
        <w:rPr>
          <w:rFonts w:ascii="Times New Roman" w:hAnsi="Times New Roman" w:eastAsia="宋体"/>
          <w:b w:val="0"/>
          <w:sz w:val="24"/>
        </w:rPr>
        <w:t>[18] 丁梓琦. 小程序开发后台管理系统的设计与实现[D]. 北京: 北京交通大学, 2022.</w:t>
      </w:r>
    </w:p>
    <w:p>
      <w:pPr>
        <w:spacing w:lineRule="exact" w:line="400" w:before="0" w:after="0"/>
        <w:jc w:val="both"/>
      </w:pPr>
      <w:r>
        <w:rPr>
          <w:rFonts w:ascii="Times New Roman" w:hAnsi="Times New Roman" w:eastAsia="宋体"/>
          <w:b w:val="0"/>
          <w:sz w:val="24"/>
        </w:rPr>
        <w:t>[19] 陈向明. 教育研究方法[M]. 北京: 教育科学出版社, 2013.</w:t>
      </w:r>
    </w:p>
    <w:p>
      <w:pPr>
        <w:spacing w:lineRule="exact" w:line="400" w:before="0" w:after="0"/>
        <w:jc w:val="both"/>
      </w:pPr>
      <w:r>
        <w:rPr>
          <w:rFonts w:ascii="Times New Roman" w:hAnsi="Times New Roman" w:eastAsia="宋体"/>
          <w:b w:val="0"/>
          <w:sz w:val="24"/>
        </w:rPr>
        <w:t>[20] Calder N, Larkin K, Sinclair N. Using mobile technologies in the teaching and learning of mathematics[M]. Cham: Springer, 2018.</w:t>
      </w:r>
    </w:p>
    <w:p>
      <w:pPr>
        <w:spacing w:lineRule="exact" w:line="400" w:before="0" w:after="0"/>
        <w:jc w:val="both"/>
      </w:pPr>
      <w:r>
        <w:rPr>
          <w:rFonts w:ascii="Times New Roman" w:hAnsi="Times New Roman" w:eastAsia="宋体"/>
          <w:b w:val="0"/>
          <w:sz w:val="24"/>
        </w:rPr>
        <w:t>[21] 吴正宪, 张丹. 小学数学[M]. 上海: 华东师范大学出版社, 2008.</w:t>
      </w:r>
    </w:p>
    <w:p>
      <w:pPr>
        <w:spacing w:lineRule="exact" w:line="400" w:before="0" w:after="0"/>
        <w:jc w:val="both"/>
      </w:pPr>
      <w:r>
        <w:rPr>
          <w:rFonts w:ascii="Times New Roman" w:hAnsi="Times New Roman" w:eastAsia="宋体"/>
          <w:b w:val="0"/>
          <w:sz w:val="24"/>
        </w:rPr>
        <w:t>[22] Lewis P, Perez E, Piktus A, et al. Retrieval-augmented generation for knowledge-intensive NLP tasks[C]//Advances in Neural Information Processing Systems 33. 2020.</w:t>
      </w:r>
    </w:p>
    <w:p>
      <w:pPr>
        <w:spacing w:lineRule="exact" w:line="400" w:before="0" w:after="0"/>
        <w:jc w:val="both"/>
      </w:pPr>
      <w:r>
        <w:rPr>
          <w:rFonts w:ascii="Times New Roman" w:hAnsi="Times New Roman" w:eastAsia="宋体"/>
          <w:b w:val="0"/>
          <w:sz w:val="24"/>
        </w:rPr>
        <w:t>[23] Es S, James J, Anke L E, et al. Ragas: Automated evaluation of retrieval augmented generation[C]//Proceedings of the 18th Conference of the European Chapter of the Association for Computational Linguistics. 2024.</w:t>
      </w:r>
    </w:p>
    <w:p>
      <w:pPr>
        <w:spacing w:lineRule="exact" w:line="400" w:before="0" w:after="0"/>
        <w:jc w:val="both"/>
      </w:pPr>
      <w:r>
        <w:rPr>
          <w:rFonts w:ascii="Times New Roman" w:hAnsi="Times New Roman" w:eastAsia="宋体"/>
          <w:b w:val="0"/>
          <w:sz w:val="24"/>
        </w:rPr>
        <w:t>[24] Lee E L, Kuo T T, Lin S D. A collaborative filtering-based two stage model with item dependency for course recommendation[C]//IEEE International Conference on Data Science and Advanced Analytics. IEEE, 2018: 255.</w:t>
      </w:r>
    </w:p>
    <w:p>
      <w:pPr>
        <w:spacing w:lineRule="exact" w:line="400" w:before="0" w:after="0"/>
        <w:jc w:val="both"/>
      </w:pPr>
      <w:r>
        <w:rPr>
          <w:rFonts w:ascii="Times New Roman" w:hAnsi="Times New Roman" w:eastAsia="宋体"/>
          <w:b w:val="0"/>
          <w:sz w:val="24"/>
        </w:rPr>
        <w:t>[25] 全国信息安全标准化技术委员会. 信息安全技术 个人信息安全规范: GB/T 35273—2020[S]. 北京: 中国标准出版社, 2020.</w:t>
      </w:r>
    </w:p>
    <w:p>
      <w:pPr>
        <w:spacing w:lineRule="exact" w:line="400" w:before="0" w:after="0"/>
        <w:jc w:val="both"/>
      </w:pPr>
      <w:r>
        <w:rPr>
          <w:rFonts w:ascii="Times New Roman" w:hAnsi="Times New Roman" w:eastAsia="宋体"/>
          <w:b w:val="0"/>
          <w:sz w:val="24"/>
        </w:rPr>
        <w:t>[26] 李杰泽. 新课程背景下提高小学数学口算能力的实践与研究[N]. 贵港日报, 2024-05-22(3).</w:t>
      </w:r>
    </w:p>
    <w:p>
      <w:pPr>
        <w:spacing w:lineRule="exact" w:line="400" w:before="0" w:after="0"/>
        <w:jc w:val="both"/>
      </w:pPr>
      <w:r>
        <w:rPr>
          <w:rFonts w:ascii="Times New Roman" w:hAnsi="Times New Roman" w:eastAsia="宋体"/>
          <w:b w:val="0"/>
          <w:sz w:val="24"/>
        </w:rPr>
        <w:t>[27] 中共中央办公厅, 国务院办公厅. 全民科学素质行动规划纲要（2021—2035年）[EB/OL]. (2021-06-25)[2026-06-11]. https://www.gov.cn/zhengce/2021-06/25/content_5620813.htm</w:t>
      </w:r>
    </w:p>
    <w:p>
      <w:pPr>
        <w:spacing w:lineRule="exact" w:line="400" w:before="0" w:after="0"/>
        <w:jc w:val="both"/>
      </w:pPr>
      <w:r>
        <w:rPr>
          <w:rFonts w:ascii="Times New Roman" w:hAnsi="Times New Roman" w:eastAsia="宋体"/>
          <w:b w:val="0"/>
          <w:sz w:val="24"/>
        </w:rPr>
        <w:t>[28] 教育部. 教育信息化2.0行动计划[EB/OL]. (2018-04-18)[2026-06-11]. http://www.moe.gov.cn/srcsite/A16/s3342/201804/t20180425_334188.html</w:t>
      </w:r>
    </w:p>
    <w:p>
      <w:pPr>
        <w:spacing w:lineRule="exact" w:line="400" w:before="0" w:after="0"/>
        <w:jc w:val="both"/>
      </w:pPr>
      <w:r>
        <w:rPr>
          <w:rFonts w:ascii="Times New Roman" w:hAnsi="Times New Roman" w:eastAsia="宋体"/>
          <w:b w:val="0"/>
          <w:sz w:val="24"/>
        </w:rPr>
        <w:t>[29] 教育部. 义务教育课程方案和课程标准（2022年版）[EB/OL]. (2022-04-20)[2026-06-11]. http://www.moe.gov.cn/srcsite/A26/s8001/202204/t20220420_619921.html</w:t>
      </w:r>
    </w:p>
    <w:p>
      <w:pPr>
        <w:spacing w:lineRule="exact" w:line="400" w:before="0" w:after="0"/>
        <w:jc w:val="both"/>
      </w:pPr>
      <w:r>
        <w:rPr>
          <w:rFonts w:ascii="Times New Roman" w:hAnsi="Times New Roman" w:eastAsia="宋体"/>
          <w:b w:val="0"/>
          <w:sz w:val="24"/>
        </w:rPr>
        <w:t>[30] 微信开放社区. 微信小程序开发文档[EB/OL]. [2026-06-11]. https://developers.weixin.qq.com/miniprogram/dev/framework/</w:t>
      </w:r>
    </w:p>
    <w:sectPr w:rsidR="00FC693F" w:rsidRPr="0006063C" w:rsidSect="00034616">
      <w:pgSz w:w="12240" w:h="15840"/>
      <w:pgMar w:top="158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