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D8D3F" w14:textId="6300B550" w:rsidR="00917110" w:rsidRPr="00E97E8F" w:rsidRDefault="00917110" w:rsidP="00E97E8F">
      <w:pPr>
        <w:pStyle w:val="NormalWeb"/>
        <w:spacing w:after="0" w:afterAutospacing="0"/>
        <w:jc w:val="center"/>
        <w:rPr>
          <w:b/>
          <w:bCs/>
          <w:sz w:val="22"/>
          <w:szCs w:val="22"/>
        </w:rPr>
      </w:pPr>
      <w:r w:rsidRPr="00E97E8F">
        <w:rPr>
          <w:b/>
          <w:bCs/>
          <w:sz w:val="22"/>
          <w:szCs w:val="22"/>
        </w:rPr>
        <w:t>BMI 5</w:t>
      </w:r>
      <w:r w:rsidR="00E97E8F" w:rsidRPr="00E97E8F">
        <w:rPr>
          <w:b/>
          <w:bCs/>
          <w:sz w:val="22"/>
          <w:szCs w:val="22"/>
        </w:rPr>
        <w:t>50</w:t>
      </w:r>
      <w:r w:rsidRPr="00E97E8F">
        <w:rPr>
          <w:b/>
          <w:bCs/>
          <w:sz w:val="22"/>
          <w:szCs w:val="22"/>
        </w:rPr>
        <w:t xml:space="preserve">: </w:t>
      </w:r>
      <w:r w:rsidR="00E97E8F" w:rsidRPr="00E97E8F">
        <w:rPr>
          <w:b/>
          <w:bCs/>
          <w:sz w:val="22"/>
          <w:szCs w:val="22"/>
        </w:rPr>
        <w:t xml:space="preserve">Assignment </w:t>
      </w:r>
      <w:r w:rsidR="009A1FD3">
        <w:rPr>
          <w:b/>
          <w:bCs/>
          <w:sz w:val="22"/>
          <w:szCs w:val="22"/>
        </w:rPr>
        <w:t>2</w:t>
      </w:r>
    </w:p>
    <w:p w14:paraId="5BA21D44" w14:textId="47A722E4" w:rsidR="00917110" w:rsidRPr="00E97E8F" w:rsidRDefault="00917110" w:rsidP="00E97E8F">
      <w:pPr>
        <w:pStyle w:val="NormalWeb"/>
        <w:spacing w:before="0" w:beforeAutospacing="0" w:after="0" w:afterAutospacing="0"/>
        <w:jc w:val="center"/>
        <w:rPr>
          <w:b/>
          <w:bCs/>
          <w:position w:val="8"/>
          <w:sz w:val="22"/>
          <w:szCs w:val="22"/>
        </w:rPr>
      </w:pPr>
      <w:r w:rsidRPr="00E97E8F">
        <w:rPr>
          <w:b/>
          <w:bCs/>
          <w:sz w:val="22"/>
          <w:szCs w:val="22"/>
        </w:rPr>
        <w:t>JaMor Hairsto</w:t>
      </w:r>
      <w:r w:rsidR="00E97E8F">
        <w:rPr>
          <w:b/>
          <w:bCs/>
          <w:sz w:val="22"/>
          <w:szCs w:val="22"/>
        </w:rPr>
        <w:t>n, MSHI, MS</w:t>
      </w:r>
    </w:p>
    <w:p w14:paraId="60D958A3" w14:textId="77777777" w:rsidR="00F0542B" w:rsidRPr="00E97E8F" w:rsidRDefault="00917110" w:rsidP="00917110">
      <w:pPr>
        <w:pStyle w:val="NormalWeb"/>
        <w:spacing w:before="0" w:beforeAutospacing="0" w:after="0" w:afterAutospacing="0"/>
        <w:jc w:val="center"/>
        <w:rPr>
          <w:sz w:val="22"/>
          <w:szCs w:val="22"/>
        </w:rPr>
      </w:pPr>
      <w:r w:rsidRPr="00E97E8F">
        <w:rPr>
          <w:sz w:val="22"/>
          <w:szCs w:val="22"/>
        </w:rPr>
        <w:t>Emory University School of Medicine</w:t>
      </w:r>
    </w:p>
    <w:p w14:paraId="69F0A990" w14:textId="1506EC44" w:rsidR="00917110" w:rsidRPr="00E97E8F" w:rsidRDefault="00F0542B" w:rsidP="00917110">
      <w:pPr>
        <w:pStyle w:val="NormalWeb"/>
        <w:spacing w:before="0" w:beforeAutospacing="0" w:after="0" w:afterAutospacing="0"/>
        <w:jc w:val="center"/>
        <w:rPr>
          <w:sz w:val="22"/>
          <w:szCs w:val="22"/>
        </w:rPr>
      </w:pPr>
      <w:r w:rsidRPr="00E97E8F">
        <w:rPr>
          <w:sz w:val="22"/>
          <w:szCs w:val="22"/>
        </w:rPr>
        <w:t xml:space="preserve">Department of </w:t>
      </w:r>
      <w:r w:rsidR="00917110" w:rsidRPr="00E97E8F">
        <w:rPr>
          <w:sz w:val="22"/>
          <w:szCs w:val="22"/>
        </w:rPr>
        <w:t>B</w:t>
      </w:r>
      <w:r w:rsidRPr="00E97E8F">
        <w:rPr>
          <w:sz w:val="22"/>
          <w:szCs w:val="22"/>
        </w:rPr>
        <w:t xml:space="preserve">iomedical </w:t>
      </w:r>
      <w:r w:rsidR="00917110" w:rsidRPr="00E97E8F">
        <w:rPr>
          <w:sz w:val="22"/>
          <w:szCs w:val="22"/>
        </w:rPr>
        <w:t>I</w:t>
      </w:r>
      <w:r w:rsidRPr="00E97E8F">
        <w:rPr>
          <w:sz w:val="22"/>
          <w:szCs w:val="22"/>
        </w:rPr>
        <w:t>nformatics</w:t>
      </w:r>
    </w:p>
    <w:p w14:paraId="50A5E6EF" w14:textId="450BCC41" w:rsidR="00917110" w:rsidRPr="00E97E8F" w:rsidRDefault="009A1FD3" w:rsidP="00917110">
      <w:pPr>
        <w:pStyle w:val="NormalWeb"/>
        <w:spacing w:before="0" w:beforeAutospacing="0" w:after="0" w:afterAutospacing="0"/>
        <w:jc w:val="center"/>
        <w:rPr>
          <w:sz w:val="22"/>
          <w:szCs w:val="22"/>
        </w:rPr>
      </w:pPr>
      <w:r>
        <w:rPr>
          <w:sz w:val="22"/>
          <w:szCs w:val="22"/>
        </w:rPr>
        <w:t>October 24</w:t>
      </w:r>
      <w:r w:rsidR="00917110" w:rsidRPr="00E97E8F">
        <w:rPr>
          <w:sz w:val="22"/>
          <w:szCs w:val="22"/>
        </w:rPr>
        <w:t>, 2023</w:t>
      </w:r>
    </w:p>
    <w:p w14:paraId="1CBB4841" w14:textId="1971ADC8" w:rsidR="00917110" w:rsidRPr="00E97E8F" w:rsidRDefault="00917110" w:rsidP="00917110">
      <w:pPr>
        <w:pStyle w:val="NormalWeb"/>
        <w:ind w:left="720" w:right="720"/>
        <w:rPr>
          <w:b/>
          <w:bCs/>
          <w:sz w:val="22"/>
          <w:szCs w:val="22"/>
        </w:rPr>
      </w:pPr>
      <w:r w:rsidRPr="00E97E8F">
        <w:rPr>
          <w:b/>
          <w:bCs/>
          <w:sz w:val="22"/>
          <w:szCs w:val="22"/>
        </w:rPr>
        <w:t>Abstract</w:t>
      </w:r>
    </w:p>
    <w:p w14:paraId="65539932" w14:textId="716C069F" w:rsidR="00EF7D50" w:rsidRDefault="00EF7D50" w:rsidP="00917110">
      <w:pPr>
        <w:pStyle w:val="NormalWeb"/>
        <w:ind w:left="720" w:right="720"/>
        <w:rPr>
          <w:sz w:val="22"/>
          <w:szCs w:val="22"/>
        </w:rPr>
      </w:pPr>
      <w:r w:rsidRPr="00EF7D50">
        <w:rPr>
          <w:sz w:val="22"/>
          <w:szCs w:val="22"/>
        </w:rPr>
        <w:t xml:space="preserve">This study </w:t>
      </w:r>
      <w:r w:rsidR="007D1FA5">
        <w:rPr>
          <w:sz w:val="22"/>
          <w:szCs w:val="22"/>
        </w:rPr>
        <w:t>uses</w:t>
      </w:r>
      <w:r w:rsidRPr="00EF7D50">
        <w:rPr>
          <w:sz w:val="22"/>
          <w:szCs w:val="22"/>
        </w:rPr>
        <w:t xml:space="preserve"> Natural Language Processing (NLP) techniques </w:t>
      </w:r>
      <w:r>
        <w:rPr>
          <w:sz w:val="22"/>
          <w:szCs w:val="22"/>
        </w:rPr>
        <w:t>to predict</w:t>
      </w:r>
      <w:r w:rsidRPr="00EF7D50">
        <w:rPr>
          <w:sz w:val="22"/>
          <w:szCs w:val="22"/>
        </w:rPr>
        <w:t xml:space="preserve"> Freezing of Gait (FOG) instances from patient fall reports. </w:t>
      </w:r>
      <w:r>
        <w:rPr>
          <w:sz w:val="22"/>
          <w:szCs w:val="22"/>
        </w:rPr>
        <w:t>The primary goal of employing machine learning algorithms and text analysis</w:t>
      </w:r>
      <w:r w:rsidRPr="00EF7D50">
        <w:rPr>
          <w:sz w:val="22"/>
          <w:szCs w:val="22"/>
        </w:rPr>
        <w:t xml:space="preserve"> is to develop a robust model capable of accurately identifying and predicting occurrences of FOG based on narrative descriptions of falls. This predictive framework holds </w:t>
      </w:r>
      <w:r>
        <w:rPr>
          <w:sz w:val="22"/>
          <w:szCs w:val="22"/>
        </w:rPr>
        <w:t xml:space="preserve">the </w:t>
      </w:r>
      <w:r w:rsidRPr="00EF7D50">
        <w:rPr>
          <w:sz w:val="22"/>
          <w:szCs w:val="22"/>
        </w:rPr>
        <w:t>potential for facilitating timely interventions and personalized healthcare strategies for individuals experiencing FOG symptoms.</w:t>
      </w:r>
      <w:r w:rsidR="002749A0">
        <w:rPr>
          <w:sz w:val="22"/>
          <w:szCs w:val="22"/>
        </w:rPr>
        <w:t xml:space="preserve"> </w:t>
      </w:r>
      <w:r w:rsidR="00D51658">
        <w:rPr>
          <w:sz w:val="22"/>
          <w:szCs w:val="22"/>
        </w:rPr>
        <w:t>This use case found forecasting the need for early intervention and personalized medicine plausible</w:t>
      </w:r>
      <w:r w:rsidR="002749A0">
        <w:rPr>
          <w:sz w:val="22"/>
          <w:szCs w:val="22"/>
        </w:rPr>
        <w:t>.</w:t>
      </w:r>
    </w:p>
    <w:p w14:paraId="27507509" w14:textId="48E070C9" w:rsidR="00917110" w:rsidRPr="00E97E8F" w:rsidRDefault="00917110" w:rsidP="00917110">
      <w:pPr>
        <w:pStyle w:val="NormalWeb"/>
        <w:ind w:left="720" w:right="720"/>
        <w:rPr>
          <w:b/>
          <w:bCs/>
          <w:sz w:val="22"/>
          <w:szCs w:val="22"/>
        </w:rPr>
      </w:pPr>
      <w:r w:rsidRPr="00E97E8F">
        <w:rPr>
          <w:b/>
          <w:bCs/>
          <w:sz w:val="22"/>
          <w:szCs w:val="22"/>
        </w:rPr>
        <w:t>Introduction</w:t>
      </w:r>
    </w:p>
    <w:p w14:paraId="3413444A" w14:textId="7D1D2088" w:rsidR="00EF7D50" w:rsidRPr="00EF7D50" w:rsidRDefault="00EF7D50" w:rsidP="00EF7D50">
      <w:pPr>
        <w:pStyle w:val="NormalWeb"/>
        <w:ind w:left="720" w:right="720"/>
        <w:rPr>
          <w:sz w:val="22"/>
          <w:szCs w:val="22"/>
        </w:rPr>
      </w:pPr>
      <w:r w:rsidRPr="00EF7D50">
        <w:rPr>
          <w:sz w:val="22"/>
          <w:szCs w:val="22"/>
        </w:rPr>
        <w:t xml:space="preserve">Freezing of Gait (FOG) presents a significant challenge for individuals with neurological disorders such as Parkinson's disease, often leading to impaired mobility and increased risk of falls. Accurate prediction of FOG instances from patient-reported fall descriptions </w:t>
      </w:r>
      <w:r>
        <w:rPr>
          <w:sz w:val="22"/>
          <w:szCs w:val="22"/>
        </w:rPr>
        <w:t>is crucial</w:t>
      </w:r>
      <w:r w:rsidRPr="00EF7D50">
        <w:rPr>
          <w:sz w:val="22"/>
          <w:szCs w:val="22"/>
        </w:rPr>
        <w:t xml:space="preserve"> in proactive healthcare interventions and </w:t>
      </w:r>
      <w:r>
        <w:rPr>
          <w:sz w:val="22"/>
          <w:szCs w:val="22"/>
        </w:rPr>
        <w:t xml:space="preserve">in </w:t>
      </w:r>
      <w:r w:rsidRPr="00EF7D50">
        <w:rPr>
          <w:sz w:val="22"/>
          <w:szCs w:val="22"/>
        </w:rPr>
        <w:t xml:space="preserve">improving patient outcomes. This study </w:t>
      </w:r>
      <w:r>
        <w:rPr>
          <w:sz w:val="22"/>
          <w:szCs w:val="22"/>
        </w:rPr>
        <w:t>uses</w:t>
      </w:r>
      <w:r w:rsidRPr="00EF7D50">
        <w:rPr>
          <w:sz w:val="22"/>
          <w:szCs w:val="22"/>
        </w:rPr>
        <w:t xml:space="preserve"> advanced NLP techniques and machine learning models to predict the likelihood of FOG occurrences based on textual narratives of falls. By harnessing predictive analytics in this context, the aim is to enable early detection and personalized management strategies for individuals susceptible to FOG episodes.</w:t>
      </w:r>
    </w:p>
    <w:p w14:paraId="78B2F439" w14:textId="77777777" w:rsidR="00EF7D50" w:rsidRDefault="00EF7D50" w:rsidP="00EF7D50">
      <w:pPr>
        <w:pStyle w:val="NormalWeb"/>
        <w:ind w:left="720" w:right="720"/>
        <w:rPr>
          <w:sz w:val="22"/>
          <w:szCs w:val="22"/>
        </w:rPr>
      </w:pPr>
      <w:r w:rsidRPr="00EF7D50">
        <w:rPr>
          <w:sz w:val="22"/>
          <w:szCs w:val="22"/>
        </w:rPr>
        <w:t>Adjusting the objective to predict FOG from fall reports emphasizes the predictive aspect, aiming to forecast the likelihood of FOG incidents from the textual descriptions provided by patients who have experienced falls. This alteration aligns the study's focus more explicitly with the predictive modeling aspect to anticipate and identify FOG occurrences based on textual data, fostering proactive healthcare interventions and support strategies.</w:t>
      </w:r>
    </w:p>
    <w:p w14:paraId="3B8BC610" w14:textId="0B3B3027" w:rsidR="00917110" w:rsidRPr="00E97E8F" w:rsidRDefault="00917110" w:rsidP="00EF7D50">
      <w:pPr>
        <w:pStyle w:val="NormalWeb"/>
        <w:ind w:left="720" w:right="720"/>
        <w:rPr>
          <w:b/>
          <w:bCs/>
          <w:sz w:val="22"/>
          <w:szCs w:val="22"/>
        </w:rPr>
      </w:pPr>
      <w:r w:rsidRPr="00E97E8F">
        <w:rPr>
          <w:b/>
          <w:bCs/>
          <w:sz w:val="22"/>
          <w:szCs w:val="22"/>
        </w:rPr>
        <w:t>Methods</w:t>
      </w:r>
    </w:p>
    <w:p w14:paraId="12D2A7BA" w14:textId="71B07AD8" w:rsidR="001B2E55" w:rsidRPr="00467292" w:rsidRDefault="00EF7D50" w:rsidP="00467292">
      <w:pPr>
        <w:pStyle w:val="NormalWeb"/>
        <w:ind w:left="720" w:right="720"/>
        <w:rPr>
          <w:b/>
          <w:bCs/>
          <w:sz w:val="22"/>
          <w:szCs w:val="22"/>
        </w:rPr>
      </w:pPr>
      <w:r w:rsidRPr="00EF7D50">
        <w:rPr>
          <w:b/>
          <w:bCs/>
          <w:sz w:val="22"/>
          <w:szCs w:val="22"/>
        </w:rPr>
        <w:t>Data Preprocessing</w:t>
      </w:r>
      <w:r>
        <w:rPr>
          <w:sz w:val="22"/>
          <w:szCs w:val="22"/>
        </w:rPr>
        <w:t xml:space="preserve"> </w:t>
      </w:r>
      <w:r w:rsidRPr="00EF7D50">
        <w:rPr>
          <w:sz w:val="22"/>
          <w:szCs w:val="22"/>
        </w:rPr>
        <w:t xml:space="preserve">The </w:t>
      </w:r>
      <w:r w:rsidR="00F038AE">
        <w:rPr>
          <w:sz w:val="22"/>
          <w:szCs w:val="22"/>
        </w:rPr>
        <w:t xml:space="preserve">train and test </w:t>
      </w:r>
      <w:r w:rsidRPr="00EF7D50">
        <w:rPr>
          <w:sz w:val="22"/>
          <w:szCs w:val="22"/>
        </w:rPr>
        <w:t>dataset</w:t>
      </w:r>
      <w:r w:rsidR="00F038AE">
        <w:rPr>
          <w:sz w:val="22"/>
          <w:szCs w:val="22"/>
        </w:rPr>
        <w:t xml:space="preserve">s </w:t>
      </w:r>
      <w:r w:rsidRPr="00EF7D50">
        <w:rPr>
          <w:sz w:val="22"/>
          <w:szCs w:val="22"/>
        </w:rPr>
        <w:t xml:space="preserve">containing textual descriptions of falls </w:t>
      </w:r>
      <w:r w:rsidR="00F038AE">
        <w:rPr>
          <w:sz w:val="22"/>
          <w:szCs w:val="22"/>
        </w:rPr>
        <w:t>were</w:t>
      </w:r>
      <w:r w:rsidRPr="00EF7D50">
        <w:rPr>
          <w:sz w:val="22"/>
          <w:szCs w:val="22"/>
        </w:rPr>
        <w:t xml:space="preserve"> preprocessed to remove noise, standardize text, handle missing values, and perform tokenization for further analysis. </w:t>
      </w:r>
      <w:r w:rsidR="00F038AE">
        <w:rPr>
          <w:sz w:val="22"/>
          <w:szCs w:val="22"/>
        </w:rPr>
        <w:t xml:space="preserve">The training dataset included 300 unique records with 29 variables – including IDs, demographics, and descriptive text. The test data included 72 unique records and the same 29 variables of the training set. </w:t>
      </w:r>
      <w:r w:rsidRPr="00EF7D50">
        <w:rPr>
          <w:sz w:val="22"/>
          <w:szCs w:val="22"/>
        </w:rPr>
        <w:t>Textual data</w:t>
      </w:r>
      <w:r w:rsidR="000B191E">
        <w:rPr>
          <w:sz w:val="22"/>
          <w:szCs w:val="22"/>
        </w:rPr>
        <w:t>, ‘fall_description’,</w:t>
      </w:r>
      <w:r w:rsidRPr="00EF7D50">
        <w:rPr>
          <w:sz w:val="22"/>
          <w:szCs w:val="22"/>
        </w:rPr>
        <w:t xml:space="preserve"> was cleaned, normalized, and transformed into a format suitable for feature extraction.</w:t>
      </w:r>
      <w:r>
        <w:rPr>
          <w:sz w:val="22"/>
          <w:szCs w:val="22"/>
        </w:rPr>
        <w:t xml:space="preserve"> </w:t>
      </w:r>
      <w:r w:rsidRPr="00EF7D50">
        <w:rPr>
          <w:b/>
          <w:bCs/>
          <w:sz w:val="22"/>
          <w:szCs w:val="22"/>
        </w:rPr>
        <w:t>Feature Engineerin</w:t>
      </w:r>
      <w:r>
        <w:rPr>
          <w:b/>
          <w:bCs/>
          <w:sz w:val="22"/>
          <w:szCs w:val="22"/>
        </w:rPr>
        <w:t xml:space="preserve">g </w:t>
      </w:r>
      <w:r w:rsidR="00A16D40">
        <w:rPr>
          <w:sz w:val="22"/>
          <w:szCs w:val="22"/>
        </w:rPr>
        <w:t>To conduct the instructed feat engineering step, t</w:t>
      </w:r>
      <w:r w:rsidRPr="00EF7D50">
        <w:rPr>
          <w:sz w:val="22"/>
          <w:szCs w:val="22"/>
        </w:rPr>
        <w:t>wo primary feature engineering techniques were employed:</w:t>
      </w:r>
      <w:r w:rsidR="00A16D40">
        <w:rPr>
          <w:sz w:val="22"/>
          <w:szCs w:val="22"/>
        </w:rPr>
        <w:t xml:space="preserve"> 1. </w:t>
      </w:r>
      <w:r w:rsidRPr="00EF7D50">
        <w:rPr>
          <w:sz w:val="22"/>
          <w:szCs w:val="22"/>
        </w:rPr>
        <w:t>TF-IDF for N-Grams: Text data was vectorized using TF-IDF (Term Frequency-Inverse Document Frequency) representation with n-gram ranges to capture sequential word combinations.</w:t>
      </w:r>
      <w:r w:rsidR="00A16D40">
        <w:rPr>
          <w:sz w:val="22"/>
          <w:szCs w:val="22"/>
        </w:rPr>
        <w:t xml:space="preserve"> 2. </w:t>
      </w:r>
      <w:r w:rsidRPr="00EF7D50">
        <w:rPr>
          <w:sz w:val="22"/>
          <w:szCs w:val="22"/>
        </w:rPr>
        <w:t>Clustering-Based Features: Utilizing K-means clustering, text features were grouped into clusters to derive additional categorical features.</w:t>
      </w:r>
      <w:r w:rsidR="00A16D40">
        <w:rPr>
          <w:sz w:val="22"/>
          <w:szCs w:val="22"/>
        </w:rPr>
        <w:t xml:space="preserve"> </w:t>
      </w:r>
      <w:r w:rsidRPr="00A16D40">
        <w:rPr>
          <w:b/>
          <w:bCs/>
          <w:sz w:val="22"/>
          <w:szCs w:val="22"/>
        </w:rPr>
        <w:t>Model Building</w:t>
      </w:r>
      <w:r w:rsidR="00A16D40">
        <w:rPr>
          <w:sz w:val="22"/>
          <w:szCs w:val="22"/>
        </w:rPr>
        <w:t xml:space="preserve"> </w:t>
      </w:r>
      <w:r w:rsidRPr="00EF7D50">
        <w:rPr>
          <w:sz w:val="22"/>
          <w:szCs w:val="22"/>
        </w:rPr>
        <w:t>Multiple machine learning classifiers</w:t>
      </w:r>
      <w:r w:rsidR="00A16D40">
        <w:rPr>
          <w:sz w:val="22"/>
          <w:szCs w:val="22"/>
        </w:rPr>
        <w:t xml:space="preserve">: </w:t>
      </w:r>
      <w:r w:rsidRPr="00EF7D50">
        <w:rPr>
          <w:sz w:val="22"/>
          <w:szCs w:val="22"/>
        </w:rPr>
        <w:t xml:space="preserve">Logistic Regression, Random Forest, Gradient Boosting, SVM, and </w:t>
      </w:r>
      <w:r w:rsidRPr="00EF7D50">
        <w:rPr>
          <w:sz w:val="22"/>
          <w:szCs w:val="22"/>
        </w:rPr>
        <w:lastRenderedPageBreak/>
        <w:t xml:space="preserve">Naive Bayes were trained on the </w:t>
      </w:r>
      <w:r w:rsidR="00A16D40">
        <w:rPr>
          <w:sz w:val="22"/>
          <w:szCs w:val="22"/>
        </w:rPr>
        <w:t xml:space="preserve">aforementioned </w:t>
      </w:r>
      <w:r w:rsidRPr="00EF7D50">
        <w:rPr>
          <w:sz w:val="22"/>
          <w:szCs w:val="22"/>
        </w:rPr>
        <w:t>engineered features. Hyperparameter tuning and cross-validation were conducted to optimize model performance.</w:t>
      </w:r>
      <w:r w:rsidR="00A16D40">
        <w:rPr>
          <w:sz w:val="22"/>
          <w:szCs w:val="22"/>
        </w:rPr>
        <w:t xml:space="preserve"> </w:t>
      </w:r>
      <w:r w:rsidR="00A16D40" w:rsidRPr="00A16D40">
        <w:rPr>
          <w:b/>
          <w:bCs/>
          <w:sz w:val="22"/>
          <w:szCs w:val="22"/>
        </w:rPr>
        <w:t>Classifier Evaluation</w:t>
      </w:r>
      <w:r w:rsidR="00A16D40">
        <w:rPr>
          <w:b/>
          <w:bCs/>
          <w:sz w:val="22"/>
          <w:szCs w:val="22"/>
        </w:rPr>
        <w:t xml:space="preserve"> </w:t>
      </w:r>
      <w:r w:rsidR="00467292">
        <w:rPr>
          <w:sz w:val="22"/>
          <w:szCs w:val="22"/>
        </w:rPr>
        <w:t>The e</w:t>
      </w:r>
      <w:r w:rsidRPr="00EF7D50">
        <w:rPr>
          <w:sz w:val="22"/>
          <w:szCs w:val="22"/>
        </w:rPr>
        <w:t>valuation metrics</w:t>
      </w:r>
      <w:r w:rsidR="00467292">
        <w:rPr>
          <w:sz w:val="22"/>
          <w:szCs w:val="22"/>
        </w:rPr>
        <w:t>,</w:t>
      </w:r>
      <w:r w:rsidRPr="00EF7D50">
        <w:rPr>
          <w:sz w:val="22"/>
          <w:szCs w:val="22"/>
        </w:rPr>
        <w:t xml:space="preserve"> micro F1 score, accuracy, precision, recall, and AUC were employed to assess the models' performance on the test dataset.</w:t>
      </w:r>
      <w:r w:rsidR="00A16D40">
        <w:rPr>
          <w:sz w:val="22"/>
          <w:szCs w:val="22"/>
        </w:rPr>
        <w:t xml:space="preserve"> Per the assignment instructions</w:t>
      </w:r>
      <w:r w:rsidR="00467292">
        <w:rPr>
          <w:sz w:val="22"/>
          <w:szCs w:val="22"/>
        </w:rPr>
        <w:t>,</w:t>
      </w:r>
      <w:r w:rsidR="00A16D40">
        <w:rPr>
          <w:sz w:val="22"/>
          <w:szCs w:val="22"/>
        </w:rPr>
        <w:t xml:space="preserve"> the overall </w:t>
      </w:r>
      <w:r w:rsidR="00467292">
        <w:rPr>
          <w:sz w:val="22"/>
          <w:szCs w:val="22"/>
        </w:rPr>
        <w:t xml:space="preserve">micro-averaged F1 score was used to evaluate the performance of the classifiers. </w:t>
      </w:r>
      <w:r w:rsidRPr="00467292">
        <w:rPr>
          <w:b/>
          <w:bCs/>
          <w:sz w:val="22"/>
          <w:szCs w:val="22"/>
        </w:rPr>
        <w:t>Training Set Size vs. Performance</w:t>
      </w:r>
      <w:r w:rsidR="00467292">
        <w:rPr>
          <w:b/>
          <w:bCs/>
          <w:sz w:val="22"/>
          <w:szCs w:val="22"/>
        </w:rPr>
        <w:t xml:space="preserve"> Exploration</w:t>
      </w:r>
      <w:r w:rsidRPr="00467292">
        <w:rPr>
          <w:b/>
          <w:bCs/>
          <w:sz w:val="22"/>
          <w:szCs w:val="22"/>
        </w:rPr>
        <w:t>:</w:t>
      </w:r>
      <w:r w:rsidR="00467292">
        <w:rPr>
          <w:sz w:val="22"/>
          <w:szCs w:val="22"/>
        </w:rPr>
        <w:t xml:space="preserve"> </w:t>
      </w:r>
      <w:r w:rsidRPr="00EF7D50">
        <w:rPr>
          <w:sz w:val="22"/>
          <w:szCs w:val="22"/>
        </w:rPr>
        <w:t>An analysis was conducted to explore how the variation in training set sizes affects the classifiers' performance. Models were trained and evaluated on subsets of varying sizes to understand the impact of data volume on predictive accuracy.</w:t>
      </w:r>
      <w:r w:rsidR="00467292">
        <w:rPr>
          <w:sz w:val="22"/>
          <w:szCs w:val="22"/>
        </w:rPr>
        <w:t xml:space="preserve"> </w:t>
      </w:r>
      <w:r w:rsidRPr="00467292">
        <w:rPr>
          <w:b/>
          <w:bCs/>
          <w:sz w:val="22"/>
          <w:szCs w:val="22"/>
        </w:rPr>
        <w:t>Ablation Study</w:t>
      </w:r>
      <w:r w:rsidR="00467292">
        <w:rPr>
          <w:b/>
          <w:bCs/>
          <w:sz w:val="22"/>
          <w:szCs w:val="22"/>
        </w:rPr>
        <w:t xml:space="preserve"> </w:t>
      </w:r>
      <w:r w:rsidR="00467292" w:rsidRPr="00467292">
        <w:rPr>
          <w:sz w:val="22"/>
          <w:szCs w:val="22"/>
        </w:rPr>
        <w:t>Finally,</w:t>
      </w:r>
      <w:r w:rsidR="00467292">
        <w:rPr>
          <w:sz w:val="22"/>
          <w:szCs w:val="22"/>
        </w:rPr>
        <w:t xml:space="preserve"> a</w:t>
      </w:r>
      <w:r>
        <w:rPr>
          <w:sz w:val="22"/>
          <w:szCs w:val="22"/>
        </w:rPr>
        <w:t xml:space="preserve"> systematic ablation study was conducted to gauge the importance of individual features</w:t>
      </w:r>
      <w:r w:rsidRPr="00EF7D50">
        <w:rPr>
          <w:sz w:val="22"/>
          <w:szCs w:val="22"/>
        </w:rPr>
        <w:t xml:space="preserve">. Each feature was removed </w:t>
      </w:r>
      <w:r>
        <w:rPr>
          <w:sz w:val="22"/>
          <w:szCs w:val="22"/>
        </w:rPr>
        <w:t>individually</w:t>
      </w:r>
      <w:r w:rsidRPr="00EF7D50">
        <w:rPr>
          <w:sz w:val="22"/>
          <w:szCs w:val="22"/>
        </w:rPr>
        <w:t>, and the resulting model performance was assessed</w:t>
      </w:r>
      <w:r w:rsidR="00467292">
        <w:rPr>
          <w:sz w:val="22"/>
          <w:szCs w:val="22"/>
        </w:rPr>
        <w:t xml:space="preserve"> </w:t>
      </w:r>
      <w:r w:rsidRPr="00EF7D50">
        <w:rPr>
          <w:sz w:val="22"/>
          <w:szCs w:val="22"/>
        </w:rPr>
        <w:t>using the micro F1 score.</w:t>
      </w:r>
    </w:p>
    <w:p w14:paraId="3B1EBC43" w14:textId="56E9D937" w:rsidR="00917110" w:rsidRPr="00E97E8F" w:rsidRDefault="00917110" w:rsidP="00917110">
      <w:pPr>
        <w:pStyle w:val="NormalWeb"/>
        <w:ind w:left="720" w:right="720"/>
        <w:rPr>
          <w:b/>
          <w:bCs/>
          <w:sz w:val="22"/>
          <w:szCs w:val="22"/>
        </w:rPr>
      </w:pPr>
      <w:r w:rsidRPr="00E97E8F">
        <w:rPr>
          <w:b/>
          <w:bCs/>
          <w:sz w:val="22"/>
          <w:szCs w:val="22"/>
        </w:rPr>
        <w:t>Results</w:t>
      </w:r>
    </w:p>
    <w:p w14:paraId="167BB2D8" w14:textId="26B99E95" w:rsidR="00467292" w:rsidRDefault="00467292" w:rsidP="00467292">
      <w:pPr>
        <w:pStyle w:val="NormalWeb"/>
        <w:ind w:left="720" w:right="720"/>
        <w:rPr>
          <w:sz w:val="22"/>
          <w:szCs w:val="22"/>
        </w:rPr>
      </w:pPr>
      <w:r>
        <w:rPr>
          <w:sz w:val="22"/>
          <w:szCs w:val="22"/>
        </w:rPr>
        <w:t xml:space="preserve">In comparing the performance of the classifiers, illustrated in </w:t>
      </w:r>
      <w:r w:rsidR="00CE6678">
        <w:rPr>
          <w:sz w:val="22"/>
          <w:szCs w:val="22"/>
        </w:rPr>
        <w:t>Table</w:t>
      </w:r>
      <w:r>
        <w:rPr>
          <w:sz w:val="22"/>
          <w:szCs w:val="22"/>
        </w:rPr>
        <w:t xml:space="preserve"> 1, </w:t>
      </w:r>
      <w:r w:rsidR="00EF7D50" w:rsidRPr="00EF7D50">
        <w:rPr>
          <w:sz w:val="22"/>
          <w:szCs w:val="22"/>
        </w:rPr>
        <w:t xml:space="preserve">the </w:t>
      </w:r>
      <w:r>
        <w:rPr>
          <w:sz w:val="22"/>
          <w:szCs w:val="22"/>
        </w:rPr>
        <w:t>Logistic Regression</w:t>
      </w:r>
      <w:r w:rsidR="00EF7D50" w:rsidRPr="00EF7D50">
        <w:rPr>
          <w:sz w:val="22"/>
          <w:szCs w:val="22"/>
        </w:rPr>
        <w:t xml:space="preserve"> classifier </w:t>
      </w:r>
      <w:r>
        <w:rPr>
          <w:sz w:val="22"/>
          <w:szCs w:val="22"/>
        </w:rPr>
        <w:t>performed the highest</w:t>
      </w:r>
      <w:r w:rsidR="00EF7D50" w:rsidRPr="00EF7D50">
        <w:rPr>
          <w:sz w:val="22"/>
          <w:szCs w:val="22"/>
        </w:rPr>
        <w:t xml:space="preserve"> in accurately classifying FOG instances from textual descriptions</w:t>
      </w:r>
      <w:r>
        <w:rPr>
          <w:sz w:val="22"/>
          <w:szCs w:val="22"/>
        </w:rPr>
        <w:t>, b</w:t>
      </w:r>
      <w:r w:rsidRPr="00EF7D50">
        <w:rPr>
          <w:sz w:val="22"/>
          <w:szCs w:val="22"/>
        </w:rPr>
        <w:t>ased on the micro F1 score</w:t>
      </w:r>
      <w:r>
        <w:rPr>
          <w:sz w:val="22"/>
          <w:szCs w:val="22"/>
        </w:rPr>
        <w:t xml:space="preserve"> – with a micro-averaged F1 score of 0.8169. </w:t>
      </w:r>
    </w:p>
    <w:tbl>
      <w:tblPr>
        <w:tblStyle w:val="TableGrid"/>
        <w:tblW w:w="9356" w:type="dxa"/>
        <w:jc w:val="center"/>
        <w:tblLayout w:type="fixed"/>
        <w:tblLook w:val="04A0" w:firstRow="1" w:lastRow="0" w:firstColumn="1" w:lastColumn="0" w:noHBand="0" w:noVBand="1"/>
      </w:tblPr>
      <w:tblGrid>
        <w:gridCol w:w="1315"/>
        <w:gridCol w:w="1391"/>
        <w:gridCol w:w="1420"/>
        <w:gridCol w:w="1448"/>
        <w:gridCol w:w="1372"/>
        <w:gridCol w:w="1205"/>
        <w:gridCol w:w="1205"/>
      </w:tblGrid>
      <w:tr w:rsidR="00CE6678" w14:paraId="78FDCDD7" w14:textId="7A004BE2" w:rsidTr="00CE6678">
        <w:trPr>
          <w:trHeight w:val="445"/>
          <w:jc w:val="center"/>
        </w:trPr>
        <w:tc>
          <w:tcPr>
            <w:tcW w:w="1315" w:type="dxa"/>
            <w:shd w:val="clear" w:color="auto" w:fill="A6A6A6" w:themeFill="background1" w:themeFillShade="A6"/>
          </w:tcPr>
          <w:p w14:paraId="52054325" w14:textId="77777777" w:rsidR="00CE6678" w:rsidRDefault="00CE6678" w:rsidP="00CE6678">
            <w:pPr>
              <w:pStyle w:val="NormalWeb"/>
              <w:ind w:right="45"/>
              <w:rPr>
                <w:sz w:val="22"/>
                <w:szCs w:val="22"/>
              </w:rPr>
            </w:pPr>
          </w:p>
        </w:tc>
        <w:tc>
          <w:tcPr>
            <w:tcW w:w="1391" w:type="dxa"/>
          </w:tcPr>
          <w:p w14:paraId="2EEDB40A" w14:textId="4D8177C5" w:rsidR="00CE6678" w:rsidRDefault="00CE6678" w:rsidP="00CE6678">
            <w:pPr>
              <w:pStyle w:val="NormalWeb"/>
              <w:ind w:right="45"/>
              <w:rPr>
                <w:sz w:val="22"/>
                <w:szCs w:val="22"/>
              </w:rPr>
            </w:pPr>
            <w:r>
              <w:rPr>
                <w:sz w:val="22"/>
                <w:szCs w:val="22"/>
              </w:rPr>
              <w:t>Accuracy</w:t>
            </w:r>
          </w:p>
        </w:tc>
        <w:tc>
          <w:tcPr>
            <w:tcW w:w="1420" w:type="dxa"/>
          </w:tcPr>
          <w:p w14:paraId="7020B60D" w14:textId="607355E1" w:rsidR="00CE6678" w:rsidRDefault="00CE6678" w:rsidP="00CE6678">
            <w:pPr>
              <w:pStyle w:val="NormalWeb"/>
              <w:ind w:right="45"/>
              <w:rPr>
                <w:sz w:val="22"/>
                <w:szCs w:val="22"/>
              </w:rPr>
            </w:pPr>
            <w:r>
              <w:rPr>
                <w:sz w:val="22"/>
                <w:szCs w:val="22"/>
              </w:rPr>
              <w:t>F1_Micro</w:t>
            </w:r>
          </w:p>
        </w:tc>
        <w:tc>
          <w:tcPr>
            <w:tcW w:w="1448" w:type="dxa"/>
          </w:tcPr>
          <w:p w14:paraId="31F5096F" w14:textId="3AF75C07" w:rsidR="00CE6678" w:rsidRDefault="00CE6678" w:rsidP="00CE6678">
            <w:pPr>
              <w:pStyle w:val="NormalWeb"/>
              <w:ind w:right="45"/>
              <w:rPr>
                <w:sz w:val="22"/>
                <w:szCs w:val="22"/>
              </w:rPr>
            </w:pPr>
            <w:r>
              <w:rPr>
                <w:sz w:val="22"/>
                <w:szCs w:val="22"/>
              </w:rPr>
              <w:t>F1_Macro</w:t>
            </w:r>
          </w:p>
        </w:tc>
        <w:tc>
          <w:tcPr>
            <w:tcW w:w="1372" w:type="dxa"/>
          </w:tcPr>
          <w:p w14:paraId="2077B2C7" w14:textId="3E845239" w:rsidR="00CE6678" w:rsidRDefault="00CE6678" w:rsidP="00CE6678">
            <w:pPr>
              <w:pStyle w:val="NormalWeb"/>
              <w:ind w:right="45"/>
              <w:rPr>
                <w:sz w:val="22"/>
                <w:szCs w:val="22"/>
              </w:rPr>
            </w:pPr>
            <w:r>
              <w:rPr>
                <w:sz w:val="22"/>
                <w:szCs w:val="22"/>
              </w:rPr>
              <w:t>Precision</w:t>
            </w:r>
          </w:p>
        </w:tc>
        <w:tc>
          <w:tcPr>
            <w:tcW w:w="1205" w:type="dxa"/>
          </w:tcPr>
          <w:p w14:paraId="2B1252C3" w14:textId="3CB0B3E2" w:rsidR="00CE6678" w:rsidRDefault="00CE6678" w:rsidP="00CE6678">
            <w:pPr>
              <w:pStyle w:val="NormalWeb"/>
              <w:ind w:right="45"/>
              <w:rPr>
                <w:sz w:val="22"/>
                <w:szCs w:val="22"/>
              </w:rPr>
            </w:pPr>
            <w:r>
              <w:rPr>
                <w:sz w:val="22"/>
                <w:szCs w:val="22"/>
              </w:rPr>
              <w:t>Recall</w:t>
            </w:r>
          </w:p>
        </w:tc>
        <w:tc>
          <w:tcPr>
            <w:tcW w:w="1205" w:type="dxa"/>
          </w:tcPr>
          <w:p w14:paraId="786C0579" w14:textId="677C689B" w:rsidR="00CE6678" w:rsidRDefault="00CE6678" w:rsidP="00CE6678">
            <w:pPr>
              <w:pStyle w:val="NormalWeb"/>
              <w:ind w:right="45"/>
              <w:rPr>
                <w:sz w:val="22"/>
                <w:szCs w:val="22"/>
              </w:rPr>
            </w:pPr>
            <w:r>
              <w:rPr>
                <w:sz w:val="22"/>
                <w:szCs w:val="22"/>
              </w:rPr>
              <w:t>AUC</w:t>
            </w:r>
          </w:p>
        </w:tc>
      </w:tr>
      <w:tr w:rsidR="00CE6678" w14:paraId="7C4946BE" w14:textId="631AF435" w:rsidTr="00CE6678">
        <w:trPr>
          <w:trHeight w:val="420"/>
          <w:jc w:val="center"/>
        </w:trPr>
        <w:tc>
          <w:tcPr>
            <w:tcW w:w="1315" w:type="dxa"/>
          </w:tcPr>
          <w:p w14:paraId="3BCEAA7D" w14:textId="4178C1C5" w:rsidR="00CE6678" w:rsidRDefault="00CE6678" w:rsidP="00CE6678">
            <w:pPr>
              <w:pStyle w:val="NormalWeb"/>
              <w:ind w:right="45"/>
              <w:rPr>
                <w:sz w:val="22"/>
                <w:szCs w:val="22"/>
              </w:rPr>
            </w:pPr>
            <w:r>
              <w:rPr>
                <w:sz w:val="22"/>
                <w:szCs w:val="22"/>
              </w:rPr>
              <w:t>Log Reg</w:t>
            </w:r>
          </w:p>
        </w:tc>
        <w:tc>
          <w:tcPr>
            <w:tcW w:w="1391" w:type="dxa"/>
            <w:vAlign w:val="center"/>
          </w:tcPr>
          <w:p w14:paraId="026F6125" w14:textId="03FEBE3E" w:rsidR="00CE6678" w:rsidRDefault="00CE6678" w:rsidP="00CE6678">
            <w:pPr>
              <w:pStyle w:val="NormalWeb"/>
              <w:ind w:right="45"/>
              <w:rPr>
                <w:sz w:val="22"/>
                <w:szCs w:val="22"/>
              </w:rPr>
            </w:pPr>
            <w:r>
              <w:rPr>
                <w:sz w:val="22"/>
                <w:szCs w:val="22"/>
              </w:rPr>
              <w:t>0.8169</w:t>
            </w:r>
          </w:p>
        </w:tc>
        <w:tc>
          <w:tcPr>
            <w:tcW w:w="1420" w:type="dxa"/>
            <w:vAlign w:val="center"/>
          </w:tcPr>
          <w:p w14:paraId="05EE72DB" w14:textId="599B6AA4" w:rsidR="00CE6678" w:rsidRDefault="00CE6678" w:rsidP="00CE6678">
            <w:pPr>
              <w:pStyle w:val="NormalWeb"/>
              <w:ind w:right="45"/>
              <w:rPr>
                <w:sz w:val="22"/>
                <w:szCs w:val="22"/>
              </w:rPr>
            </w:pPr>
            <w:r>
              <w:rPr>
                <w:sz w:val="22"/>
                <w:szCs w:val="22"/>
              </w:rPr>
              <w:t>0.8169</w:t>
            </w:r>
          </w:p>
        </w:tc>
        <w:tc>
          <w:tcPr>
            <w:tcW w:w="1448" w:type="dxa"/>
            <w:vAlign w:val="center"/>
          </w:tcPr>
          <w:p w14:paraId="27B8E7B2" w14:textId="59BDF78C" w:rsidR="00CE6678" w:rsidRDefault="00CE6678" w:rsidP="00CE6678">
            <w:pPr>
              <w:pStyle w:val="NormalWeb"/>
              <w:ind w:right="45"/>
              <w:rPr>
                <w:sz w:val="22"/>
                <w:szCs w:val="22"/>
              </w:rPr>
            </w:pPr>
            <w:r>
              <w:rPr>
                <w:sz w:val="22"/>
                <w:szCs w:val="22"/>
              </w:rPr>
              <w:t>0.8156</w:t>
            </w:r>
          </w:p>
        </w:tc>
        <w:tc>
          <w:tcPr>
            <w:tcW w:w="1372" w:type="dxa"/>
            <w:vAlign w:val="center"/>
          </w:tcPr>
          <w:p w14:paraId="7B9D619C" w14:textId="100256B1" w:rsidR="00CE6678" w:rsidRDefault="00CE6678" w:rsidP="00CE6678">
            <w:pPr>
              <w:pStyle w:val="NormalWeb"/>
              <w:ind w:right="45"/>
              <w:rPr>
                <w:sz w:val="22"/>
                <w:szCs w:val="22"/>
              </w:rPr>
            </w:pPr>
            <w:r>
              <w:rPr>
                <w:sz w:val="22"/>
                <w:szCs w:val="22"/>
              </w:rPr>
              <w:t>0.8230</w:t>
            </w:r>
          </w:p>
        </w:tc>
        <w:tc>
          <w:tcPr>
            <w:tcW w:w="1205" w:type="dxa"/>
            <w:vAlign w:val="center"/>
          </w:tcPr>
          <w:p w14:paraId="5FB6A0F2" w14:textId="1A4DE811" w:rsidR="00CE6678" w:rsidRDefault="00CE6678" w:rsidP="00CE6678">
            <w:pPr>
              <w:pStyle w:val="NormalWeb"/>
              <w:ind w:right="45"/>
              <w:rPr>
                <w:sz w:val="22"/>
                <w:szCs w:val="22"/>
              </w:rPr>
            </w:pPr>
            <w:r>
              <w:rPr>
                <w:sz w:val="22"/>
                <w:szCs w:val="22"/>
              </w:rPr>
              <w:t>0.8169</w:t>
            </w:r>
          </w:p>
        </w:tc>
        <w:tc>
          <w:tcPr>
            <w:tcW w:w="1205" w:type="dxa"/>
            <w:vAlign w:val="center"/>
          </w:tcPr>
          <w:p w14:paraId="1C177BD5" w14:textId="47FBB324" w:rsidR="00CE6678" w:rsidRDefault="00CE6678" w:rsidP="00CE6678">
            <w:pPr>
              <w:pStyle w:val="NormalWeb"/>
              <w:ind w:right="45"/>
              <w:rPr>
                <w:sz w:val="22"/>
                <w:szCs w:val="22"/>
              </w:rPr>
            </w:pPr>
            <w:r>
              <w:rPr>
                <w:sz w:val="22"/>
                <w:szCs w:val="22"/>
              </w:rPr>
              <w:t>0.8159</w:t>
            </w:r>
          </w:p>
        </w:tc>
      </w:tr>
      <w:tr w:rsidR="00CE6678" w14:paraId="0D2045E8" w14:textId="4BF66768" w:rsidTr="00CE6678">
        <w:trPr>
          <w:trHeight w:val="602"/>
          <w:jc w:val="center"/>
        </w:trPr>
        <w:tc>
          <w:tcPr>
            <w:tcW w:w="1315" w:type="dxa"/>
          </w:tcPr>
          <w:p w14:paraId="222BD745" w14:textId="1997F5D3" w:rsidR="00CE6678" w:rsidRDefault="00CE6678" w:rsidP="00CE6678">
            <w:pPr>
              <w:pStyle w:val="NormalWeb"/>
              <w:ind w:right="45"/>
              <w:rPr>
                <w:sz w:val="22"/>
                <w:szCs w:val="22"/>
              </w:rPr>
            </w:pPr>
            <w:r>
              <w:rPr>
                <w:sz w:val="22"/>
                <w:szCs w:val="22"/>
              </w:rPr>
              <w:t>Random Forest</w:t>
            </w:r>
          </w:p>
        </w:tc>
        <w:tc>
          <w:tcPr>
            <w:tcW w:w="1391" w:type="dxa"/>
            <w:vAlign w:val="center"/>
          </w:tcPr>
          <w:p w14:paraId="06EE294B" w14:textId="2764272C" w:rsidR="00CE6678" w:rsidRDefault="00CE6678" w:rsidP="00CE6678">
            <w:pPr>
              <w:pStyle w:val="NormalWeb"/>
              <w:ind w:right="45"/>
              <w:rPr>
                <w:sz w:val="22"/>
                <w:szCs w:val="22"/>
              </w:rPr>
            </w:pPr>
            <w:r>
              <w:rPr>
                <w:sz w:val="22"/>
                <w:szCs w:val="22"/>
              </w:rPr>
              <w:t>0.7324</w:t>
            </w:r>
          </w:p>
        </w:tc>
        <w:tc>
          <w:tcPr>
            <w:tcW w:w="1420" w:type="dxa"/>
            <w:vAlign w:val="center"/>
          </w:tcPr>
          <w:p w14:paraId="79B2D0B3" w14:textId="2B0D6CCF" w:rsidR="00CE6678" w:rsidRDefault="00CE6678" w:rsidP="00CE6678">
            <w:pPr>
              <w:pStyle w:val="NormalWeb"/>
              <w:ind w:right="45"/>
              <w:rPr>
                <w:sz w:val="22"/>
                <w:szCs w:val="22"/>
              </w:rPr>
            </w:pPr>
            <w:r>
              <w:rPr>
                <w:sz w:val="22"/>
                <w:szCs w:val="22"/>
              </w:rPr>
              <w:t>0.7324</w:t>
            </w:r>
          </w:p>
        </w:tc>
        <w:tc>
          <w:tcPr>
            <w:tcW w:w="1448" w:type="dxa"/>
            <w:vAlign w:val="center"/>
          </w:tcPr>
          <w:p w14:paraId="5BFD548B" w14:textId="6032F61B" w:rsidR="00CE6678" w:rsidRDefault="00CE6678" w:rsidP="00CE6678">
            <w:pPr>
              <w:pStyle w:val="NormalWeb"/>
              <w:ind w:right="45"/>
              <w:rPr>
                <w:sz w:val="22"/>
                <w:szCs w:val="22"/>
              </w:rPr>
            </w:pPr>
            <w:r>
              <w:rPr>
                <w:sz w:val="22"/>
                <w:szCs w:val="22"/>
              </w:rPr>
              <w:t>0.7245</w:t>
            </w:r>
          </w:p>
        </w:tc>
        <w:tc>
          <w:tcPr>
            <w:tcW w:w="1372" w:type="dxa"/>
            <w:vAlign w:val="center"/>
          </w:tcPr>
          <w:p w14:paraId="20A13988" w14:textId="208FC597" w:rsidR="00CE6678" w:rsidRDefault="00CE6678" w:rsidP="00CE6678">
            <w:pPr>
              <w:pStyle w:val="NormalWeb"/>
              <w:ind w:right="45"/>
              <w:rPr>
                <w:sz w:val="22"/>
                <w:szCs w:val="22"/>
              </w:rPr>
            </w:pPr>
            <w:r>
              <w:rPr>
                <w:sz w:val="22"/>
                <w:szCs w:val="22"/>
              </w:rPr>
              <w:t>0.7560</w:t>
            </w:r>
          </w:p>
        </w:tc>
        <w:tc>
          <w:tcPr>
            <w:tcW w:w="1205" w:type="dxa"/>
            <w:vAlign w:val="center"/>
          </w:tcPr>
          <w:p w14:paraId="6428D27F" w14:textId="205F1604" w:rsidR="00CE6678" w:rsidRDefault="00CE6678" w:rsidP="00CE6678">
            <w:pPr>
              <w:pStyle w:val="NormalWeb"/>
              <w:ind w:right="45"/>
              <w:rPr>
                <w:sz w:val="22"/>
                <w:szCs w:val="22"/>
              </w:rPr>
            </w:pPr>
            <w:r>
              <w:rPr>
                <w:sz w:val="22"/>
                <w:szCs w:val="22"/>
              </w:rPr>
              <w:t>0.7324</w:t>
            </w:r>
          </w:p>
        </w:tc>
        <w:tc>
          <w:tcPr>
            <w:tcW w:w="1205" w:type="dxa"/>
            <w:vAlign w:val="center"/>
          </w:tcPr>
          <w:p w14:paraId="46E9D021" w14:textId="5BF3FAB1" w:rsidR="00CE6678" w:rsidRDefault="00CE6678" w:rsidP="00CE6678">
            <w:pPr>
              <w:pStyle w:val="NormalWeb"/>
              <w:ind w:right="45"/>
              <w:rPr>
                <w:sz w:val="22"/>
                <w:szCs w:val="22"/>
              </w:rPr>
            </w:pPr>
            <w:r>
              <w:rPr>
                <w:sz w:val="22"/>
                <w:szCs w:val="22"/>
              </w:rPr>
              <w:t>0.7302</w:t>
            </w:r>
          </w:p>
        </w:tc>
      </w:tr>
      <w:tr w:rsidR="00CE6678" w14:paraId="5555A64E" w14:textId="12E2698B" w:rsidTr="00CE6678">
        <w:trPr>
          <w:trHeight w:val="445"/>
          <w:jc w:val="center"/>
        </w:trPr>
        <w:tc>
          <w:tcPr>
            <w:tcW w:w="1315" w:type="dxa"/>
          </w:tcPr>
          <w:p w14:paraId="2A267ABF" w14:textId="59EE1E64" w:rsidR="00CE6678" w:rsidRDefault="00CE6678" w:rsidP="00CE6678">
            <w:pPr>
              <w:pStyle w:val="NormalWeb"/>
              <w:ind w:right="45"/>
              <w:rPr>
                <w:sz w:val="22"/>
                <w:szCs w:val="22"/>
              </w:rPr>
            </w:pPr>
            <w:r>
              <w:rPr>
                <w:sz w:val="22"/>
                <w:szCs w:val="22"/>
              </w:rPr>
              <w:t>XGB</w:t>
            </w:r>
          </w:p>
        </w:tc>
        <w:tc>
          <w:tcPr>
            <w:tcW w:w="1391" w:type="dxa"/>
            <w:vAlign w:val="center"/>
          </w:tcPr>
          <w:p w14:paraId="213FC456" w14:textId="0A85E9F8" w:rsidR="00CE6678" w:rsidRDefault="00CE6678" w:rsidP="00CE6678">
            <w:pPr>
              <w:pStyle w:val="NormalWeb"/>
              <w:ind w:right="45"/>
              <w:rPr>
                <w:sz w:val="22"/>
                <w:szCs w:val="22"/>
              </w:rPr>
            </w:pPr>
            <w:r>
              <w:rPr>
                <w:sz w:val="22"/>
                <w:szCs w:val="22"/>
              </w:rPr>
              <w:t>0.7606</w:t>
            </w:r>
          </w:p>
        </w:tc>
        <w:tc>
          <w:tcPr>
            <w:tcW w:w="1420" w:type="dxa"/>
            <w:vAlign w:val="center"/>
          </w:tcPr>
          <w:p w14:paraId="265BCDA4" w14:textId="6F5696EC" w:rsidR="00CE6678" w:rsidRDefault="00CE6678" w:rsidP="00CE6678">
            <w:pPr>
              <w:pStyle w:val="NormalWeb"/>
              <w:ind w:right="45"/>
              <w:rPr>
                <w:sz w:val="22"/>
                <w:szCs w:val="22"/>
              </w:rPr>
            </w:pPr>
            <w:r>
              <w:rPr>
                <w:sz w:val="22"/>
                <w:szCs w:val="22"/>
              </w:rPr>
              <w:t>0.7606</w:t>
            </w:r>
          </w:p>
        </w:tc>
        <w:tc>
          <w:tcPr>
            <w:tcW w:w="1448" w:type="dxa"/>
            <w:vAlign w:val="center"/>
          </w:tcPr>
          <w:p w14:paraId="2AECE179" w14:textId="723F9572" w:rsidR="00CE6678" w:rsidRDefault="00CE6678" w:rsidP="00CE6678">
            <w:pPr>
              <w:pStyle w:val="NormalWeb"/>
              <w:ind w:right="45"/>
              <w:rPr>
                <w:sz w:val="22"/>
                <w:szCs w:val="22"/>
              </w:rPr>
            </w:pPr>
            <w:r>
              <w:rPr>
                <w:sz w:val="22"/>
                <w:szCs w:val="22"/>
              </w:rPr>
              <w:t>0.7598</w:t>
            </w:r>
          </w:p>
        </w:tc>
        <w:tc>
          <w:tcPr>
            <w:tcW w:w="1372" w:type="dxa"/>
            <w:vAlign w:val="center"/>
          </w:tcPr>
          <w:p w14:paraId="5C92B114" w14:textId="4635107A" w:rsidR="00CE6678" w:rsidRDefault="00CE6678" w:rsidP="00CE6678">
            <w:pPr>
              <w:pStyle w:val="NormalWeb"/>
              <w:ind w:right="45"/>
              <w:rPr>
                <w:sz w:val="22"/>
                <w:szCs w:val="22"/>
              </w:rPr>
            </w:pPr>
            <w:r>
              <w:rPr>
                <w:sz w:val="22"/>
                <w:szCs w:val="22"/>
              </w:rPr>
              <w:t>0.7622</w:t>
            </w:r>
          </w:p>
        </w:tc>
        <w:tc>
          <w:tcPr>
            <w:tcW w:w="1205" w:type="dxa"/>
            <w:vAlign w:val="center"/>
          </w:tcPr>
          <w:p w14:paraId="02A0291B" w14:textId="2E4102CF" w:rsidR="00CE6678" w:rsidRDefault="00CE6678" w:rsidP="00CE6678">
            <w:pPr>
              <w:pStyle w:val="NormalWeb"/>
              <w:ind w:right="45"/>
              <w:rPr>
                <w:sz w:val="22"/>
                <w:szCs w:val="22"/>
              </w:rPr>
            </w:pPr>
            <w:r>
              <w:rPr>
                <w:sz w:val="22"/>
                <w:szCs w:val="22"/>
              </w:rPr>
              <w:t>0.7606</w:t>
            </w:r>
          </w:p>
        </w:tc>
        <w:tc>
          <w:tcPr>
            <w:tcW w:w="1205" w:type="dxa"/>
            <w:vAlign w:val="center"/>
          </w:tcPr>
          <w:p w14:paraId="12F7AE06" w14:textId="72D7CD39" w:rsidR="00CE6678" w:rsidRDefault="00CE6678" w:rsidP="00CE6678">
            <w:pPr>
              <w:pStyle w:val="NormalWeb"/>
              <w:ind w:right="45"/>
              <w:rPr>
                <w:sz w:val="22"/>
                <w:szCs w:val="22"/>
              </w:rPr>
            </w:pPr>
            <w:r>
              <w:rPr>
                <w:sz w:val="22"/>
                <w:szCs w:val="22"/>
              </w:rPr>
              <w:t>0.7599</w:t>
            </w:r>
          </w:p>
        </w:tc>
      </w:tr>
      <w:tr w:rsidR="00CE6678" w14:paraId="5A72A798" w14:textId="42DBDC52" w:rsidTr="00CE6678">
        <w:trPr>
          <w:trHeight w:val="445"/>
          <w:jc w:val="center"/>
        </w:trPr>
        <w:tc>
          <w:tcPr>
            <w:tcW w:w="1315" w:type="dxa"/>
          </w:tcPr>
          <w:p w14:paraId="51D9F2B3" w14:textId="57374292" w:rsidR="00CE6678" w:rsidRDefault="00CE6678" w:rsidP="00CE6678">
            <w:pPr>
              <w:pStyle w:val="NormalWeb"/>
              <w:ind w:right="45"/>
              <w:rPr>
                <w:sz w:val="22"/>
                <w:szCs w:val="22"/>
              </w:rPr>
            </w:pPr>
            <w:r>
              <w:rPr>
                <w:sz w:val="22"/>
                <w:szCs w:val="22"/>
              </w:rPr>
              <w:t>SVM</w:t>
            </w:r>
          </w:p>
        </w:tc>
        <w:tc>
          <w:tcPr>
            <w:tcW w:w="1391" w:type="dxa"/>
            <w:vAlign w:val="center"/>
          </w:tcPr>
          <w:p w14:paraId="3140B13E" w14:textId="33CCEA40" w:rsidR="00CE6678" w:rsidRDefault="00CE6678" w:rsidP="00CE6678">
            <w:pPr>
              <w:pStyle w:val="NormalWeb"/>
              <w:ind w:right="45"/>
              <w:rPr>
                <w:sz w:val="22"/>
                <w:szCs w:val="22"/>
              </w:rPr>
            </w:pPr>
            <w:r>
              <w:rPr>
                <w:sz w:val="22"/>
                <w:szCs w:val="22"/>
              </w:rPr>
              <w:t>0.5070</w:t>
            </w:r>
          </w:p>
        </w:tc>
        <w:tc>
          <w:tcPr>
            <w:tcW w:w="1420" w:type="dxa"/>
            <w:vAlign w:val="center"/>
          </w:tcPr>
          <w:p w14:paraId="19DC66CD" w14:textId="2B97D6F1" w:rsidR="00CE6678" w:rsidRDefault="00CE6678" w:rsidP="00CE6678">
            <w:pPr>
              <w:pStyle w:val="NormalWeb"/>
              <w:ind w:right="45"/>
              <w:rPr>
                <w:sz w:val="22"/>
                <w:szCs w:val="22"/>
              </w:rPr>
            </w:pPr>
            <w:r>
              <w:rPr>
                <w:sz w:val="22"/>
                <w:szCs w:val="22"/>
              </w:rPr>
              <w:t>0.5070</w:t>
            </w:r>
          </w:p>
        </w:tc>
        <w:tc>
          <w:tcPr>
            <w:tcW w:w="1448" w:type="dxa"/>
            <w:vAlign w:val="center"/>
          </w:tcPr>
          <w:p w14:paraId="376080B1" w14:textId="586ABD5A" w:rsidR="00CE6678" w:rsidRDefault="00CE6678" w:rsidP="00CE6678">
            <w:pPr>
              <w:pStyle w:val="NormalWeb"/>
              <w:ind w:right="45"/>
              <w:rPr>
                <w:sz w:val="22"/>
                <w:szCs w:val="22"/>
              </w:rPr>
            </w:pPr>
            <w:r>
              <w:rPr>
                <w:sz w:val="22"/>
                <w:szCs w:val="22"/>
              </w:rPr>
              <w:t>0.3604</w:t>
            </w:r>
          </w:p>
        </w:tc>
        <w:tc>
          <w:tcPr>
            <w:tcW w:w="1372" w:type="dxa"/>
            <w:vAlign w:val="center"/>
          </w:tcPr>
          <w:p w14:paraId="0C35E550" w14:textId="6F84CC12" w:rsidR="00CE6678" w:rsidRDefault="00CE6678" w:rsidP="00CE6678">
            <w:pPr>
              <w:pStyle w:val="NormalWeb"/>
              <w:ind w:right="45"/>
              <w:rPr>
                <w:sz w:val="22"/>
                <w:szCs w:val="22"/>
              </w:rPr>
            </w:pPr>
            <w:r>
              <w:rPr>
                <w:sz w:val="22"/>
                <w:szCs w:val="22"/>
              </w:rPr>
              <w:t>0.7535</w:t>
            </w:r>
          </w:p>
        </w:tc>
        <w:tc>
          <w:tcPr>
            <w:tcW w:w="1205" w:type="dxa"/>
            <w:vAlign w:val="center"/>
          </w:tcPr>
          <w:p w14:paraId="0AAAEDD4" w14:textId="2CF28C3D" w:rsidR="00CE6678" w:rsidRDefault="00CE6678" w:rsidP="00CE6678">
            <w:pPr>
              <w:pStyle w:val="NormalWeb"/>
              <w:ind w:right="45"/>
              <w:rPr>
                <w:sz w:val="22"/>
                <w:szCs w:val="22"/>
              </w:rPr>
            </w:pPr>
            <w:r>
              <w:rPr>
                <w:sz w:val="22"/>
                <w:szCs w:val="22"/>
              </w:rPr>
              <w:t>0.5070</w:t>
            </w:r>
          </w:p>
        </w:tc>
        <w:tc>
          <w:tcPr>
            <w:tcW w:w="1205" w:type="dxa"/>
            <w:vAlign w:val="center"/>
          </w:tcPr>
          <w:p w14:paraId="079FFBDA" w14:textId="74B74730" w:rsidR="00CE6678" w:rsidRDefault="00CE6678" w:rsidP="00CE6678">
            <w:pPr>
              <w:pStyle w:val="NormalWeb"/>
              <w:ind w:right="45"/>
              <w:rPr>
                <w:sz w:val="22"/>
                <w:szCs w:val="22"/>
              </w:rPr>
            </w:pPr>
            <w:r>
              <w:rPr>
                <w:sz w:val="22"/>
                <w:szCs w:val="22"/>
              </w:rPr>
              <w:t>0.5139</w:t>
            </w:r>
          </w:p>
        </w:tc>
      </w:tr>
      <w:tr w:rsidR="00CE6678" w14:paraId="0C4F22EE" w14:textId="1F8D874E" w:rsidTr="00CE6678">
        <w:trPr>
          <w:trHeight w:val="620"/>
          <w:jc w:val="center"/>
        </w:trPr>
        <w:tc>
          <w:tcPr>
            <w:tcW w:w="1315" w:type="dxa"/>
          </w:tcPr>
          <w:p w14:paraId="7B945A4A" w14:textId="5D5BB28E" w:rsidR="00CE6678" w:rsidRDefault="00CE6678" w:rsidP="00CE6678">
            <w:pPr>
              <w:pStyle w:val="NormalWeb"/>
              <w:ind w:right="45"/>
              <w:rPr>
                <w:sz w:val="22"/>
                <w:szCs w:val="22"/>
              </w:rPr>
            </w:pPr>
            <w:r>
              <w:rPr>
                <w:sz w:val="22"/>
                <w:szCs w:val="22"/>
              </w:rPr>
              <w:t>Naïve Bayes</w:t>
            </w:r>
          </w:p>
        </w:tc>
        <w:tc>
          <w:tcPr>
            <w:tcW w:w="1391" w:type="dxa"/>
            <w:vAlign w:val="center"/>
          </w:tcPr>
          <w:p w14:paraId="0558D48E" w14:textId="36604403" w:rsidR="00CE6678" w:rsidRDefault="00CE6678" w:rsidP="00CE6678">
            <w:pPr>
              <w:pStyle w:val="NormalWeb"/>
              <w:ind w:right="45"/>
              <w:rPr>
                <w:sz w:val="22"/>
                <w:szCs w:val="22"/>
              </w:rPr>
            </w:pPr>
            <w:r>
              <w:rPr>
                <w:sz w:val="22"/>
                <w:szCs w:val="22"/>
              </w:rPr>
              <w:t>0.6479</w:t>
            </w:r>
          </w:p>
        </w:tc>
        <w:tc>
          <w:tcPr>
            <w:tcW w:w="1420" w:type="dxa"/>
            <w:vAlign w:val="center"/>
          </w:tcPr>
          <w:p w14:paraId="3BDEEEE1" w14:textId="40C59C30" w:rsidR="00CE6678" w:rsidRDefault="00CE6678" w:rsidP="00CE6678">
            <w:pPr>
              <w:pStyle w:val="NormalWeb"/>
              <w:ind w:right="45"/>
              <w:rPr>
                <w:sz w:val="22"/>
                <w:szCs w:val="22"/>
              </w:rPr>
            </w:pPr>
            <w:r>
              <w:rPr>
                <w:sz w:val="22"/>
                <w:szCs w:val="22"/>
              </w:rPr>
              <w:t>0.6479</w:t>
            </w:r>
          </w:p>
        </w:tc>
        <w:tc>
          <w:tcPr>
            <w:tcW w:w="1448" w:type="dxa"/>
            <w:vAlign w:val="center"/>
          </w:tcPr>
          <w:p w14:paraId="727EF66A" w14:textId="30841E40" w:rsidR="00CE6678" w:rsidRDefault="00CE6678" w:rsidP="00CE6678">
            <w:pPr>
              <w:pStyle w:val="NormalWeb"/>
              <w:ind w:right="45"/>
              <w:rPr>
                <w:sz w:val="22"/>
                <w:szCs w:val="22"/>
              </w:rPr>
            </w:pPr>
            <w:r>
              <w:rPr>
                <w:sz w:val="22"/>
                <w:szCs w:val="22"/>
              </w:rPr>
              <w:t>0.6025</w:t>
            </w:r>
          </w:p>
        </w:tc>
        <w:tc>
          <w:tcPr>
            <w:tcW w:w="1372" w:type="dxa"/>
            <w:vAlign w:val="center"/>
          </w:tcPr>
          <w:p w14:paraId="0BC0480E" w14:textId="47A977F5" w:rsidR="00CE6678" w:rsidRDefault="00CE6678" w:rsidP="00CE6678">
            <w:pPr>
              <w:pStyle w:val="NormalWeb"/>
              <w:ind w:right="45"/>
              <w:rPr>
                <w:sz w:val="22"/>
                <w:szCs w:val="22"/>
              </w:rPr>
            </w:pPr>
            <w:r>
              <w:rPr>
                <w:sz w:val="22"/>
                <w:szCs w:val="22"/>
              </w:rPr>
              <w:t>0.7527</w:t>
            </w:r>
          </w:p>
        </w:tc>
        <w:tc>
          <w:tcPr>
            <w:tcW w:w="1205" w:type="dxa"/>
            <w:vAlign w:val="center"/>
          </w:tcPr>
          <w:p w14:paraId="6A990B30" w14:textId="05DBBC44" w:rsidR="00CE6678" w:rsidRDefault="00CE6678" w:rsidP="00CE6678">
            <w:pPr>
              <w:pStyle w:val="NormalWeb"/>
              <w:ind w:right="45"/>
              <w:rPr>
                <w:sz w:val="22"/>
                <w:szCs w:val="22"/>
              </w:rPr>
            </w:pPr>
            <w:r>
              <w:rPr>
                <w:sz w:val="22"/>
                <w:szCs w:val="22"/>
              </w:rPr>
              <w:t>0.6479</w:t>
            </w:r>
          </w:p>
        </w:tc>
        <w:tc>
          <w:tcPr>
            <w:tcW w:w="1205" w:type="dxa"/>
            <w:vAlign w:val="center"/>
          </w:tcPr>
          <w:p w14:paraId="138C7C27" w14:textId="7951F833" w:rsidR="00CE6678" w:rsidRDefault="00CE6678" w:rsidP="00CE6678">
            <w:pPr>
              <w:pStyle w:val="NormalWeb"/>
              <w:ind w:right="45"/>
              <w:rPr>
                <w:sz w:val="22"/>
                <w:szCs w:val="22"/>
              </w:rPr>
            </w:pPr>
            <w:r>
              <w:rPr>
                <w:sz w:val="22"/>
                <w:szCs w:val="22"/>
              </w:rPr>
              <w:t>0.6433</w:t>
            </w:r>
          </w:p>
        </w:tc>
      </w:tr>
    </w:tbl>
    <w:p w14:paraId="737F3A7F" w14:textId="54FA9A87" w:rsidR="00467292" w:rsidRPr="00CE6678" w:rsidRDefault="00CE6678" w:rsidP="00CE6678">
      <w:pPr>
        <w:pStyle w:val="NormalWeb"/>
        <w:spacing w:before="0" w:beforeAutospacing="0"/>
        <w:ind w:left="720" w:right="720"/>
        <w:jc w:val="center"/>
        <w:rPr>
          <w:i/>
          <w:iCs/>
          <w:sz w:val="22"/>
          <w:szCs w:val="22"/>
        </w:rPr>
      </w:pPr>
      <w:r w:rsidRPr="00CE6678">
        <w:rPr>
          <w:i/>
          <w:iCs/>
          <w:sz w:val="22"/>
          <w:szCs w:val="22"/>
        </w:rPr>
        <w:t>Table 1: Classifier Results Comparison</w:t>
      </w:r>
    </w:p>
    <w:p w14:paraId="383A05AB" w14:textId="092CC485" w:rsidR="00CE6678" w:rsidRDefault="00CE6678" w:rsidP="00467292">
      <w:pPr>
        <w:pStyle w:val="NormalWeb"/>
        <w:ind w:left="720" w:right="720"/>
        <w:rPr>
          <w:sz w:val="22"/>
          <w:szCs w:val="22"/>
        </w:rPr>
      </w:pPr>
      <w:r>
        <w:rPr>
          <w:sz w:val="22"/>
          <w:szCs w:val="22"/>
        </w:rPr>
        <w:t>Using this classifier, t</w:t>
      </w:r>
      <w:r w:rsidRPr="00EF7D50">
        <w:rPr>
          <w:sz w:val="22"/>
          <w:szCs w:val="22"/>
        </w:rPr>
        <w:t>he</w:t>
      </w:r>
      <w:r>
        <w:rPr>
          <w:sz w:val="22"/>
          <w:szCs w:val="22"/>
        </w:rPr>
        <w:t xml:space="preserve"> training set size v. performance</w:t>
      </w:r>
      <w:r w:rsidRPr="00EF7D50">
        <w:rPr>
          <w:sz w:val="22"/>
          <w:szCs w:val="22"/>
        </w:rPr>
        <w:t xml:space="preserve"> analysis </w:t>
      </w:r>
      <w:r w:rsidR="00F21BA9">
        <w:rPr>
          <w:sz w:val="22"/>
          <w:szCs w:val="22"/>
        </w:rPr>
        <w:t xml:space="preserve">(Figure 1) </w:t>
      </w:r>
      <w:r w:rsidRPr="00EF7D50">
        <w:rPr>
          <w:sz w:val="22"/>
          <w:szCs w:val="22"/>
        </w:rPr>
        <w:t xml:space="preserve">revealed an increasing trend in model performance with larger training set sizes. However, performance gains </w:t>
      </w:r>
      <w:r>
        <w:rPr>
          <w:sz w:val="22"/>
          <w:szCs w:val="22"/>
        </w:rPr>
        <w:t xml:space="preserve">began to </w:t>
      </w:r>
      <w:r w:rsidRPr="00EF7D50">
        <w:rPr>
          <w:sz w:val="22"/>
          <w:szCs w:val="22"/>
        </w:rPr>
        <w:t>plateau beyond a certain volume, suggesting diminishing returns beyond a specific dataset size.</w:t>
      </w:r>
    </w:p>
    <w:p w14:paraId="6E5A1727" w14:textId="1FC3836A" w:rsidR="00CE6678" w:rsidRDefault="00CE6678" w:rsidP="00F21BA9">
      <w:pPr>
        <w:pStyle w:val="NormalWeb"/>
        <w:spacing w:after="0" w:afterAutospacing="0"/>
        <w:jc w:val="center"/>
        <w:rPr>
          <w:sz w:val="22"/>
          <w:szCs w:val="22"/>
        </w:rPr>
      </w:pPr>
      <w:r>
        <w:rPr>
          <w:noProof/>
          <w:sz w:val="22"/>
          <w:szCs w:val="22"/>
          <w14:ligatures w14:val="standardContextual"/>
        </w:rPr>
        <w:lastRenderedPageBreak/>
        <w:drawing>
          <wp:inline distT="0" distB="0" distL="0" distR="0" wp14:anchorId="2A953693" wp14:editId="0B988FDA">
            <wp:extent cx="4817745" cy="3613309"/>
            <wp:effectExtent l="0" t="0" r="0" b="6350"/>
            <wp:docPr id="710997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9714"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2702" cy="3677027"/>
                    </a:xfrm>
                    <a:prstGeom prst="rect">
                      <a:avLst/>
                    </a:prstGeom>
                  </pic:spPr>
                </pic:pic>
              </a:graphicData>
            </a:graphic>
          </wp:inline>
        </w:drawing>
      </w:r>
    </w:p>
    <w:p w14:paraId="2E65EBC8" w14:textId="20332FE0" w:rsidR="00F21BA9" w:rsidRPr="00F21BA9" w:rsidRDefault="00F21BA9" w:rsidP="00F21BA9">
      <w:pPr>
        <w:pStyle w:val="NormalWeb"/>
        <w:spacing w:before="0" w:beforeAutospacing="0"/>
        <w:ind w:left="720" w:right="720"/>
        <w:jc w:val="center"/>
        <w:rPr>
          <w:i/>
          <w:iCs/>
          <w:sz w:val="22"/>
          <w:szCs w:val="22"/>
        </w:rPr>
      </w:pPr>
      <w:r>
        <w:rPr>
          <w:i/>
          <w:iCs/>
          <w:sz w:val="22"/>
          <w:szCs w:val="22"/>
        </w:rPr>
        <w:t>Figure 1: Training Set vs. Performance Graph</w:t>
      </w:r>
    </w:p>
    <w:p w14:paraId="4411986C" w14:textId="23B69459" w:rsidR="00EF7D50" w:rsidRPr="00EF7D50" w:rsidRDefault="00EF7D50" w:rsidP="00467292">
      <w:pPr>
        <w:pStyle w:val="NormalWeb"/>
        <w:ind w:left="720" w:right="720"/>
        <w:rPr>
          <w:sz w:val="22"/>
          <w:szCs w:val="22"/>
        </w:rPr>
      </w:pPr>
      <w:r w:rsidRPr="00EF7D50">
        <w:rPr>
          <w:sz w:val="22"/>
          <w:szCs w:val="22"/>
        </w:rPr>
        <w:t xml:space="preserve">The ablation study demonstrated varying impacts of individual features on the model's micro F1 score. </w:t>
      </w:r>
      <w:r w:rsidR="00467292">
        <w:rPr>
          <w:sz w:val="22"/>
          <w:szCs w:val="22"/>
        </w:rPr>
        <w:t>Certain</w:t>
      </w:r>
      <w:r w:rsidRPr="00EF7D50">
        <w:rPr>
          <w:sz w:val="22"/>
          <w:szCs w:val="22"/>
        </w:rPr>
        <w:t xml:space="preserve"> clusters derived from text data exhibited </w:t>
      </w:r>
      <w:r w:rsidR="00467292">
        <w:rPr>
          <w:sz w:val="22"/>
          <w:szCs w:val="22"/>
        </w:rPr>
        <w:t xml:space="preserve">a </w:t>
      </w:r>
      <w:r w:rsidRPr="00EF7D50">
        <w:rPr>
          <w:sz w:val="22"/>
          <w:szCs w:val="22"/>
        </w:rPr>
        <w:t>more significant influence on the classifier's performance when removed.</w:t>
      </w:r>
    </w:p>
    <w:p w14:paraId="57D389FD" w14:textId="00984C46" w:rsidR="00917110" w:rsidRPr="00E97E8F" w:rsidRDefault="00917110" w:rsidP="00917110">
      <w:pPr>
        <w:pStyle w:val="NormalWeb"/>
        <w:ind w:left="720" w:right="720"/>
        <w:rPr>
          <w:b/>
          <w:bCs/>
          <w:sz w:val="22"/>
          <w:szCs w:val="22"/>
        </w:rPr>
      </w:pPr>
      <w:r w:rsidRPr="00E97E8F">
        <w:rPr>
          <w:b/>
          <w:bCs/>
          <w:sz w:val="22"/>
          <w:szCs w:val="22"/>
        </w:rPr>
        <w:t>Discussion and Conclusion</w:t>
      </w:r>
    </w:p>
    <w:p w14:paraId="69619928" w14:textId="06C3F25F" w:rsidR="00917110" w:rsidRDefault="00F21BA9" w:rsidP="00F21BA9">
      <w:pPr>
        <w:pStyle w:val="NormalWeb"/>
        <w:ind w:left="720" w:right="720"/>
        <w:rPr>
          <w:sz w:val="22"/>
          <w:szCs w:val="22"/>
        </w:rPr>
      </w:pPr>
      <w:r>
        <w:rPr>
          <w:sz w:val="22"/>
          <w:szCs w:val="22"/>
        </w:rPr>
        <w:t xml:space="preserve">When considering the </w:t>
      </w:r>
      <w:r w:rsidR="00EF7D50" w:rsidRPr="00EF7D50">
        <w:rPr>
          <w:sz w:val="22"/>
          <w:szCs w:val="22"/>
        </w:rPr>
        <w:t>study's primary focus on predictive modeling aimed to forecast Freezing of Gait (FOG) instances from textual fall reports</w:t>
      </w:r>
      <w:r>
        <w:rPr>
          <w:sz w:val="22"/>
          <w:szCs w:val="22"/>
        </w:rPr>
        <w:t>, it</w:t>
      </w:r>
      <w:r w:rsidR="00EF7D50" w:rsidRPr="00EF7D50">
        <w:rPr>
          <w:sz w:val="22"/>
          <w:szCs w:val="22"/>
        </w:rPr>
        <w:t xml:space="preserve"> </w:t>
      </w:r>
      <w:r>
        <w:rPr>
          <w:sz w:val="22"/>
          <w:szCs w:val="22"/>
        </w:rPr>
        <w:t>has produced</w:t>
      </w:r>
      <w:r w:rsidR="00EF7D50" w:rsidRPr="00EF7D50">
        <w:rPr>
          <w:sz w:val="22"/>
          <w:szCs w:val="22"/>
        </w:rPr>
        <w:t xml:space="preserve"> valuable insights. The predictive models, particularly the </w:t>
      </w:r>
      <w:r>
        <w:rPr>
          <w:sz w:val="22"/>
          <w:szCs w:val="22"/>
        </w:rPr>
        <w:t>Logistic Regression</w:t>
      </w:r>
      <w:r w:rsidR="00EF7D50" w:rsidRPr="00EF7D50">
        <w:rPr>
          <w:sz w:val="22"/>
          <w:szCs w:val="22"/>
        </w:rPr>
        <w:t xml:space="preserve"> classifier, showcased notable capabilities in foreseeing the likelihood of FOG occurrences based on narrative descriptions of falls. The emphasis on predictive analytics underscores the potential for interventions and personalized care strategies for individuals susceptible to FOG episodes.</w:t>
      </w:r>
      <w:r>
        <w:rPr>
          <w:sz w:val="22"/>
          <w:szCs w:val="22"/>
        </w:rPr>
        <w:t xml:space="preserve"> </w:t>
      </w:r>
      <w:r w:rsidR="00EF7D50" w:rsidRPr="00EF7D50">
        <w:rPr>
          <w:sz w:val="22"/>
          <w:szCs w:val="22"/>
        </w:rPr>
        <w:t xml:space="preserve">Examining </w:t>
      </w:r>
      <w:r>
        <w:rPr>
          <w:sz w:val="22"/>
          <w:szCs w:val="22"/>
        </w:rPr>
        <w:t xml:space="preserve">the importance of features </w:t>
      </w:r>
      <w:r w:rsidR="00EF7D50" w:rsidRPr="00EF7D50">
        <w:rPr>
          <w:sz w:val="22"/>
          <w:szCs w:val="22"/>
        </w:rPr>
        <w:t xml:space="preserve">highlighted the significance of specific textual clusters derived from fall reports in driving the predictive accuracy of FOG identification. Understanding the relevance of these features </w:t>
      </w:r>
      <w:r>
        <w:rPr>
          <w:sz w:val="22"/>
          <w:szCs w:val="22"/>
        </w:rPr>
        <w:t>could clarify</w:t>
      </w:r>
      <w:r w:rsidR="00EF7D50" w:rsidRPr="00EF7D50">
        <w:rPr>
          <w:sz w:val="22"/>
          <w:szCs w:val="22"/>
        </w:rPr>
        <w:t xml:space="preserve"> the essential information embedded within textual narratives that </w:t>
      </w:r>
      <w:r>
        <w:rPr>
          <w:sz w:val="22"/>
          <w:szCs w:val="22"/>
        </w:rPr>
        <w:t>aid</w:t>
      </w:r>
      <w:r w:rsidR="00EF7D50" w:rsidRPr="00EF7D50">
        <w:rPr>
          <w:sz w:val="22"/>
          <w:szCs w:val="22"/>
        </w:rPr>
        <w:t xml:space="preserve"> in effectively predicting FOG incidents. This feature-</w:t>
      </w:r>
      <w:r>
        <w:rPr>
          <w:sz w:val="22"/>
          <w:szCs w:val="22"/>
        </w:rPr>
        <w:t>focused</w:t>
      </w:r>
      <w:r w:rsidR="00EF7D50" w:rsidRPr="00EF7D50">
        <w:rPr>
          <w:sz w:val="22"/>
          <w:szCs w:val="22"/>
        </w:rPr>
        <w:t xml:space="preserve"> analysis provides critical guidance for feature selection and further model refinement for enhanced predictive capabilities.</w:t>
      </w:r>
    </w:p>
    <w:p w14:paraId="679A5235" w14:textId="77777777" w:rsidR="00F21BA9" w:rsidRDefault="00F21BA9" w:rsidP="00F21BA9">
      <w:pPr>
        <w:pStyle w:val="NormalWeb"/>
        <w:ind w:left="720" w:right="720"/>
        <w:rPr>
          <w:sz w:val="22"/>
          <w:szCs w:val="22"/>
        </w:rPr>
      </w:pPr>
      <w:r>
        <w:rPr>
          <w:sz w:val="22"/>
          <w:szCs w:val="22"/>
        </w:rPr>
        <w:t>P</w:t>
      </w:r>
      <w:r w:rsidR="00EF7D50" w:rsidRPr="00EF7D50">
        <w:rPr>
          <w:sz w:val="22"/>
          <w:szCs w:val="22"/>
        </w:rPr>
        <w:t xml:space="preserve">redictive modeling for Freezing of Gait (FOG) identification from fall reports demonstrates promising potential in healthcare interventions and personalized care. The successful application of Natural Language Processing (NLP) techniques signifies a notable stride </w:t>
      </w:r>
      <w:r>
        <w:rPr>
          <w:sz w:val="22"/>
          <w:szCs w:val="22"/>
        </w:rPr>
        <w:t>toward</w:t>
      </w:r>
      <w:r w:rsidR="00EF7D50" w:rsidRPr="00EF7D50">
        <w:rPr>
          <w:sz w:val="22"/>
          <w:szCs w:val="22"/>
        </w:rPr>
        <w:t xml:space="preserve"> accurately predicting FOG occurrences based on textual descriptions of falls.</w:t>
      </w:r>
      <w:r>
        <w:rPr>
          <w:sz w:val="22"/>
          <w:szCs w:val="22"/>
        </w:rPr>
        <w:t xml:space="preserve"> </w:t>
      </w:r>
    </w:p>
    <w:p w14:paraId="35C411D4" w14:textId="08600B33" w:rsidR="00EF7D50" w:rsidRPr="00EF7D50" w:rsidRDefault="00EF7D50" w:rsidP="00F21BA9">
      <w:pPr>
        <w:pStyle w:val="NormalWeb"/>
        <w:ind w:left="720" w:right="720"/>
        <w:rPr>
          <w:sz w:val="22"/>
          <w:szCs w:val="22"/>
        </w:rPr>
      </w:pPr>
      <w:r w:rsidRPr="00EF7D50">
        <w:rPr>
          <w:sz w:val="22"/>
          <w:szCs w:val="22"/>
        </w:rPr>
        <w:lastRenderedPageBreak/>
        <w:t>Moving forward, continued advancements in feature engineering, model optimization, and leveraging larger datasets can augment the predictive capabilities of the FOG identification system. These improvements would further empower healthcare professionals with early insights into potential FOG episodes, fostering proactive interventions and tailored care plans for individuals at risk of FOG-related mobility challenges.</w:t>
      </w:r>
    </w:p>
    <w:p w14:paraId="03F3B8B1" w14:textId="77777777" w:rsidR="00EF7D50" w:rsidRPr="00E97E8F" w:rsidRDefault="00EF7D50" w:rsidP="00EF7D50">
      <w:pPr>
        <w:pStyle w:val="NormalWeb"/>
        <w:ind w:left="720" w:right="720"/>
        <w:rPr>
          <w:sz w:val="22"/>
          <w:szCs w:val="22"/>
        </w:rPr>
      </w:pPr>
    </w:p>
    <w:p w14:paraId="3A204525" w14:textId="77777777" w:rsidR="00E97E8F" w:rsidRDefault="00E97E8F">
      <w:pPr>
        <w:rPr>
          <w:rFonts w:ascii="Times New Roman" w:eastAsia="Times New Roman" w:hAnsi="Times New Roman" w:cs="Times New Roman"/>
          <w:b/>
          <w:bCs/>
          <w:kern w:val="0"/>
          <w:sz w:val="22"/>
          <w:szCs w:val="22"/>
          <w14:ligatures w14:val="none"/>
        </w:rPr>
      </w:pPr>
      <w:r>
        <w:rPr>
          <w:b/>
          <w:bCs/>
          <w:sz w:val="22"/>
          <w:szCs w:val="22"/>
        </w:rPr>
        <w:br w:type="page"/>
      </w:r>
    </w:p>
    <w:p w14:paraId="4D53418C" w14:textId="05E4EB37" w:rsidR="00D02591" w:rsidRPr="00E97E8F" w:rsidRDefault="00D02591" w:rsidP="00E97E8F">
      <w:pPr>
        <w:pStyle w:val="NormalWeb"/>
        <w:ind w:left="720" w:right="720"/>
        <w:jc w:val="center"/>
        <w:rPr>
          <w:b/>
          <w:bCs/>
          <w:sz w:val="22"/>
          <w:szCs w:val="22"/>
        </w:rPr>
      </w:pPr>
      <w:r w:rsidRPr="00E97E8F">
        <w:rPr>
          <w:b/>
          <w:bCs/>
          <w:sz w:val="22"/>
          <w:szCs w:val="22"/>
        </w:rPr>
        <w:lastRenderedPageBreak/>
        <w:t>References</w:t>
      </w:r>
    </w:p>
    <w:p w14:paraId="402207DA" w14:textId="36E63CBA" w:rsidR="00D02591" w:rsidRPr="00F03364" w:rsidRDefault="004F7DDF" w:rsidP="00F03364">
      <w:pPr>
        <w:pStyle w:val="NormalWeb"/>
        <w:numPr>
          <w:ilvl w:val="0"/>
          <w:numId w:val="2"/>
        </w:numPr>
        <w:ind w:right="720"/>
        <w:rPr>
          <w:rStyle w:val="Hyperlink"/>
          <w:color w:val="auto"/>
          <w:sz w:val="22"/>
          <w:szCs w:val="22"/>
          <w:u w:val="none"/>
        </w:rPr>
      </w:pPr>
      <w:r w:rsidRPr="004F7DDF">
        <w:rPr>
          <w:sz w:val="22"/>
          <w:szCs w:val="22"/>
        </w:rPr>
        <w:t>‌</w:t>
      </w:r>
      <w:r w:rsidR="00F03364" w:rsidRPr="00F03364">
        <w:t xml:space="preserve"> </w:t>
      </w:r>
      <w:r w:rsidR="00F03364" w:rsidRPr="00F03364">
        <w:rPr>
          <w:sz w:val="22"/>
          <w:szCs w:val="22"/>
        </w:rPr>
        <w:t xml:space="preserve">Bird, S., Klein, E., &amp; </w:t>
      </w:r>
      <w:proofErr w:type="spellStart"/>
      <w:r w:rsidR="00F03364" w:rsidRPr="00F03364">
        <w:rPr>
          <w:sz w:val="22"/>
          <w:szCs w:val="22"/>
        </w:rPr>
        <w:t>Loper</w:t>
      </w:r>
      <w:proofErr w:type="spellEnd"/>
      <w:r w:rsidR="00F03364" w:rsidRPr="00F03364">
        <w:rPr>
          <w:sz w:val="22"/>
          <w:szCs w:val="22"/>
        </w:rPr>
        <w:t>, E. (2009). Natural Language Processing with Python</w:t>
      </w:r>
      <w:r w:rsidR="00F03364">
        <w:rPr>
          <w:sz w:val="22"/>
          <w:szCs w:val="22"/>
        </w:rPr>
        <w:t xml:space="preserve"> (NLTK)</w:t>
      </w:r>
      <w:r w:rsidR="00F03364" w:rsidRPr="00F03364">
        <w:rPr>
          <w:sz w:val="22"/>
          <w:szCs w:val="22"/>
        </w:rPr>
        <w:t>. “O’Reilly Media, Inc.”</w:t>
      </w:r>
    </w:p>
    <w:p w14:paraId="2DB7EED5" w14:textId="37B2283D" w:rsidR="003D2776" w:rsidRPr="003D2776" w:rsidRDefault="003D2776" w:rsidP="003D2776">
      <w:pPr>
        <w:pStyle w:val="NormalWeb"/>
        <w:numPr>
          <w:ilvl w:val="0"/>
          <w:numId w:val="2"/>
        </w:numPr>
        <w:spacing w:after="0" w:afterAutospacing="0"/>
        <w:ind w:right="720"/>
        <w:rPr>
          <w:sz w:val="22"/>
          <w:szCs w:val="22"/>
        </w:rPr>
      </w:pPr>
      <w:proofErr w:type="spellStart"/>
      <w:r w:rsidRPr="003D2776">
        <w:rPr>
          <w:sz w:val="22"/>
          <w:szCs w:val="22"/>
        </w:rPr>
        <w:t>OpenAI</w:t>
      </w:r>
      <w:proofErr w:type="spellEnd"/>
      <w:r w:rsidRPr="003D2776">
        <w:rPr>
          <w:sz w:val="22"/>
          <w:szCs w:val="22"/>
        </w:rPr>
        <w:t xml:space="preserve">. (2023). </w:t>
      </w:r>
      <w:proofErr w:type="spellStart"/>
      <w:r w:rsidRPr="003D2776">
        <w:rPr>
          <w:sz w:val="22"/>
          <w:szCs w:val="22"/>
        </w:rPr>
        <w:t>ChatGPT</w:t>
      </w:r>
      <w:proofErr w:type="spellEnd"/>
      <w:r w:rsidRPr="003D2776">
        <w:rPr>
          <w:sz w:val="22"/>
          <w:szCs w:val="22"/>
        </w:rPr>
        <w:t xml:space="preserve"> (</w:t>
      </w:r>
      <w:r w:rsidR="00A16D40">
        <w:rPr>
          <w:sz w:val="22"/>
          <w:szCs w:val="22"/>
        </w:rPr>
        <w:t>Nov 1st</w:t>
      </w:r>
      <w:r w:rsidRPr="003D2776">
        <w:rPr>
          <w:sz w:val="22"/>
          <w:szCs w:val="22"/>
        </w:rPr>
        <w:t xml:space="preserve"> version) [Large language model]. </w:t>
      </w:r>
      <w:hyperlink r:id="rId6" w:history="1">
        <w:r w:rsidRPr="00326C55">
          <w:rPr>
            <w:rStyle w:val="Hyperlink"/>
            <w:sz w:val="22"/>
            <w:szCs w:val="22"/>
          </w:rPr>
          <w:t>https://chat.openai.com/chat</w:t>
        </w:r>
      </w:hyperlink>
      <w:r>
        <w:rPr>
          <w:sz w:val="22"/>
          <w:szCs w:val="22"/>
        </w:rPr>
        <w:t xml:space="preserve"> - Used for code </w:t>
      </w:r>
      <w:r w:rsidR="00A16D40">
        <w:rPr>
          <w:sz w:val="22"/>
          <w:szCs w:val="22"/>
        </w:rPr>
        <w:t>debugging.</w:t>
      </w:r>
    </w:p>
    <w:p w14:paraId="00ECC7D4" w14:textId="207EB0CC" w:rsidR="00917110" w:rsidRPr="00E97E8F" w:rsidRDefault="00917110" w:rsidP="00E97E8F">
      <w:pPr>
        <w:pStyle w:val="NormalWeb"/>
        <w:ind w:left="720" w:right="720"/>
        <w:jc w:val="center"/>
        <w:rPr>
          <w:b/>
          <w:bCs/>
          <w:sz w:val="22"/>
          <w:szCs w:val="22"/>
        </w:rPr>
      </w:pPr>
      <w:r w:rsidRPr="00E97E8F">
        <w:rPr>
          <w:b/>
          <w:bCs/>
          <w:sz w:val="22"/>
          <w:szCs w:val="22"/>
        </w:rPr>
        <w:t>Code</w:t>
      </w:r>
    </w:p>
    <w:p w14:paraId="16BAB7A8" w14:textId="784B21CF" w:rsidR="00917110" w:rsidRPr="00E97E8F" w:rsidRDefault="003D2776" w:rsidP="003D2776">
      <w:pPr>
        <w:pStyle w:val="NormalWeb"/>
        <w:ind w:left="720" w:right="720"/>
        <w:rPr>
          <w:sz w:val="22"/>
          <w:szCs w:val="22"/>
        </w:rPr>
      </w:pPr>
      <w:r>
        <w:rPr>
          <w:sz w:val="22"/>
          <w:szCs w:val="22"/>
        </w:rPr>
        <w:t xml:space="preserve">The code produced for the rule-based system and analysis can be found on </w:t>
      </w:r>
      <w:hyperlink r:id="rId7" w:history="1">
        <w:r w:rsidRPr="003D2776">
          <w:rPr>
            <w:rStyle w:val="Hyperlink"/>
            <w:sz w:val="22"/>
            <w:szCs w:val="22"/>
          </w:rPr>
          <w:t>GitHub</w:t>
        </w:r>
      </w:hyperlink>
      <w:r>
        <w:rPr>
          <w:sz w:val="22"/>
          <w:szCs w:val="22"/>
        </w:rPr>
        <w:t xml:space="preserve"> at the following web address </w:t>
      </w:r>
      <w:hyperlink r:id="rId8" w:history="1">
        <w:r w:rsidR="009A1FD3">
          <w:rPr>
            <w:rStyle w:val="Hyperlink"/>
            <w:sz w:val="22"/>
            <w:szCs w:val="22"/>
          </w:rPr>
          <w:t>https://github.com/jmhairston/BMI550Assignment2</w:t>
        </w:r>
      </w:hyperlink>
      <w:r w:rsidR="00917110" w:rsidRPr="00E97E8F">
        <w:rPr>
          <w:sz w:val="22"/>
          <w:szCs w:val="22"/>
        </w:rPr>
        <w:t>.</w:t>
      </w:r>
    </w:p>
    <w:p w14:paraId="1B54BBFD" w14:textId="77777777" w:rsidR="009A51DE" w:rsidRPr="00E97E8F" w:rsidRDefault="009A51DE">
      <w:pPr>
        <w:rPr>
          <w:sz w:val="22"/>
          <w:szCs w:val="22"/>
        </w:rPr>
      </w:pPr>
    </w:p>
    <w:sectPr w:rsidR="009A51DE" w:rsidRPr="00E9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F727D"/>
    <w:multiLevelType w:val="hybridMultilevel"/>
    <w:tmpl w:val="766CAED6"/>
    <w:lvl w:ilvl="0" w:tplc="5ABE8414">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344A46"/>
    <w:multiLevelType w:val="hybridMultilevel"/>
    <w:tmpl w:val="2E26C41E"/>
    <w:lvl w:ilvl="0" w:tplc="6F743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6150460">
    <w:abstractNumId w:val="1"/>
  </w:num>
  <w:num w:numId="2" w16cid:durableId="60916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10"/>
    <w:rsid w:val="00040CC6"/>
    <w:rsid w:val="000613B1"/>
    <w:rsid w:val="000B191E"/>
    <w:rsid w:val="000C0D89"/>
    <w:rsid w:val="000F7CA2"/>
    <w:rsid w:val="00103CB3"/>
    <w:rsid w:val="0012248B"/>
    <w:rsid w:val="00126DA9"/>
    <w:rsid w:val="00134072"/>
    <w:rsid w:val="001350B0"/>
    <w:rsid w:val="00185DD3"/>
    <w:rsid w:val="001B2E55"/>
    <w:rsid w:val="001D2E8A"/>
    <w:rsid w:val="001E34CE"/>
    <w:rsid w:val="0020783F"/>
    <w:rsid w:val="00214B04"/>
    <w:rsid w:val="002156E5"/>
    <w:rsid w:val="00266D2F"/>
    <w:rsid w:val="002749A0"/>
    <w:rsid w:val="002C2A36"/>
    <w:rsid w:val="003123DC"/>
    <w:rsid w:val="003365C2"/>
    <w:rsid w:val="00350867"/>
    <w:rsid w:val="00353CED"/>
    <w:rsid w:val="003D2776"/>
    <w:rsid w:val="00407B15"/>
    <w:rsid w:val="00422340"/>
    <w:rsid w:val="00467292"/>
    <w:rsid w:val="00470128"/>
    <w:rsid w:val="004F7DDF"/>
    <w:rsid w:val="00512DD5"/>
    <w:rsid w:val="00556A0E"/>
    <w:rsid w:val="005720E4"/>
    <w:rsid w:val="00587300"/>
    <w:rsid w:val="0059499E"/>
    <w:rsid w:val="00595964"/>
    <w:rsid w:val="00636402"/>
    <w:rsid w:val="00667666"/>
    <w:rsid w:val="0067258A"/>
    <w:rsid w:val="00685561"/>
    <w:rsid w:val="00694ABA"/>
    <w:rsid w:val="006C32F1"/>
    <w:rsid w:val="006E3708"/>
    <w:rsid w:val="006F71A4"/>
    <w:rsid w:val="00727461"/>
    <w:rsid w:val="00745CAE"/>
    <w:rsid w:val="0074627B"/>
    <w:rsid w:val="00754C55"/>
    <w:rsid w:val="007D1FA5"/>
    <w:rsid w:val="008870F9"/>
    <w:rsid w:val="00891BC5"/>
    <w:rsid w:val="008A25B1"/>
    <w:rsid w:val="008A2F91"/>
    <w:rsid w:val="008A508D"/>
    <w:rsid w:val="008F2A16"/>
    <w:rsid w:val="00917110"/>
    <w:rsid w:val="00947628"/>
    <w:rsid w:val="009A1FD3"/>
    <w:rsid w:val="009A51DE"/>
    <w:rsid w:val="009C5349"/>
    <w:rsid w:val="009E7A7B"/>
    <w:rsid w:val="00A01F5B"/>
    <w:rsid w:val="00A15486"/>
    <w:rsid w:val="00A16D40"/>
    <w:rsid w:val="00A470D6"/>
    <w:rsid w:val="00A56092"/>
    <w:rsid w:val="00AA03C9"/>
    <w:rsid w:val="00AA1FAB"/>
    <w:rsid w:val="00B03E0D"/>
    <w:rsid w:val="00B4350C"/>
    <w:rsid w:val="00B64095"/>
    <w:rsid w:val="00BC657B"/>
    <w:rsid w:val="00BC7955"/>
    <w:rsid w:val="00BD5C2F"/>
    <w:rsid w:val="00C42BDE"/>
    <w:rsid w:val="00C7763A"/>
    <w:rsid w:val="00CE2109"/>
    <w:rsid w:val="00CE6678"/>
    <w:rsid w:val="00CF2826"/>
    <w:rsid w:val="00D02591"/>
    <w:rsid w:val="00D51658"/>
    <w:rsid w:val="00D66B91"/>
    <w:rsid w:val="00D83C08"/>
    <w:rsid w:val="00D95A26"/>
    <w:rsid w:val="00DB2FF2"/>
    <w:rsid w:val="00E17FC0"/>
    <w:rsid w:val="00E9063E"/>
    <w:rsid w:val="00E97E8F"/>
    <w:rsid w:val="00EF7D50"/>
    <w:rsid w:val="00F03364"/>
    <w:rsid w:val="00F038AE"/>
    <w:rsid w:val="00F0542B"/>
    <w:rsid w:val="00F21BA9"/>
    <w:rsid w:val="00F31D2B"/>
    <w:rsid w:val="00F45CA2"/>
    <w:rsid w:val="00F65217"/>
    <w:rsid w:val="00F70221"/>
    <w:rsid w:val="00F85CF1"/>
    <w:rsid w:val="00FA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8658"/>
  <w15:chartTrackingRefBased/>
  <w15:docId w15:val="{31BED986-B0A1-2B49-A000-8EB5F5B2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11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591"/>
    <w:rPr>
      <w:color w:val="0563C1" w:themeColor="hyperlink"/>
      <w:u w:val="single"/>
    </w:rPr>
  </w:style>
  <w:style w:type="character" w:styleId="UnresolvedMention">
    <w:name w:val="Unresolved Mention"/>
    <w:basedOn w:val="DefaultParagraphFont"/>
    <w:uiPriority w:val="99"/>
    <w:semiHidden/>
    <w:unhideWhenUsed/>
    <w:rsid w:val="00D02591"/>
    <w:rPr>
      <w:color w:val="605E5C"/>
      <w:shd w:val="clear" w:color="auto" w:fill="E1DFDD"/>
    </w:rPr>
  </w:style>
  <w:style w:type="character" w:customStyle="1" w:styleId="apple-converted-space">
    <w:name w:val="apple-converted-space"/>
    <w:basedOn w:val="DefaultParagraphFont"/>
    <w:rsid w:val="00D02591"/>
  </w:style>
  <w:style w:type="character" w:styleId="FollowedHyperlink">
    <w:name w:val="FollowedHyperlink"/>
    <w:basedOn w:val="DefaultParagraphFont"/>
    <w:uiPriority w:val="99"/>
    <w:semiHidden/>
    <w:unhideWhenUsed/>
    <w:rsid w:val="00D02591"/>
    <w:rPr>
      <w:color w:val="954F72" w:themeColor="followedHyperlink"/>
      <w:u w:val="single"/>
    </w:rPr>
  </w:style>
  <w:style w:type="table" w:styleId="TableGrid">
    <w:name w:val="Table Grid"/>
    <w:basedOn w:val="TableNormal"/>
    <w:uiPriority w:val="39"/>
    <w:rsid w:val="00467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4632">
      <w:bodyDiv w:val="1"/>
      <w:marLeft w:val="0"/>
      <w:marRight w:val="0"/>
      <w:marTop w:val="0"/>
      <w:marBottom w:val="0"/>
      <w:divBdr>
        <w:top w:val="none" w:sz="0" w:space="0" w:color="auto"/>
        <w:left w:val="none" w:sz="0" w:space="0" w:color="auto"/>
        <w:bottom w:val="none" w:sz="0" w:space="0" w:color="auto"/>
        <w:right w:val="none" w:sz="0" w:space="0" w:color="auto"/>
      </w:divBdr>
    </w:div>
    <w:div w:id="296225887">
      <w:bodyDiv w:val="1"/>
      <w:marLeft w:val="0"/>
      <w:marRight w:val="0"/>
      <w:marTop w:val="0"/>
      <w:marBottom w:val="0"/>
      <w:divBdr>
        <w:top w:val="none" w:sz="0" w:space="0" w:color="auto"/>
        <w:left w:val="none" w:sz="0" w:space="0" w:color="auto"/>
        <w:bottom w:val="none" w:sz="0" w:space="0" w:color="auto"/>
        <w:right w:val="none" w:sz="0" w:space="0" w:color="auto"/>
      </w:divBdr>
      <w:divsChild>
        <w:div w:id="220796373">
          <w:marLeft w:val="0"/>
          <w:marRight w:val="0"/>
          <w:marTop w:val="0"/>
          <w:marBottom w:val="0"/>
          <w:divBdr>
            <w:top w:val="none" w:sz="0" w:space="0" w:color="auto"/>
            <w:left w:val="none" w:sz="0" w:space="0" w:color="auto"/>
            <w:bottom w:val="none" w:sz="0" w:space="0" w:color="auto"/>
            <w:right w:val="none" w:sz="0" w:space="0" w:color="auto"/>
          </w:divBdr>
          <w:divsChild>
            <w:div w:id="447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017">
      <w:bodyDiv w:val="1"/>
      <w:marLeft w:val="0"/>
      <w:marRight w:val="0"/>
      <w:marTop w:val="0"/>
      <w:marBottom w:val="0"/>
      <w:divBdr>
        <w:top w:val="none" w:sz="0" w:space="0" w:color="auto"/>
        <w:left w:val="none" w:sz="0" w:space="0" w:color="auto"/>
        <w:bottom w:val="none" w:sz="0" w:space="0" w:color="auto"/>
        <w:right w:val="none" w:sz="0" w:space="0" w:color="auto"/>
      </w:divBdr>
    </w:div>
    <w:div w:id="492453776">
      <w:bodyDiv w:val="1"/>
      <w:marLeft w:val="0"/>
      <w:marRight w:val="0"/>
      <w:marTop w:val="0"/>
      <w:marBottom w:val="0"/>
      <w:divBdr>
        <w:top w:val="none" w:sz="0" w:space="0" w:color="auto"/>
        <w:left w:val="none" w:sz="0" w:space="0" w:color="auto"/>
        <w:bottom w:val="none" w:sz="0" w:space="0" w:color="auto"/>
        <w:right w:val="none" w:sz="0" w:space="0" w:color="auto"/>
      </w:divBdr>
    </w:div>
    <w:div w:id="494497491">
      <w:bodyDiv w:val="1"/>
      <w:marLeft w:val="0"/>
      <w:marRight w:val="0"/>
      <w:marTop w:val="0"/>
      <w:marBottom w:val="0"/>
      <w:divBdr>
        <w:top w:val="none" w:sz="0" w:space="0" w:color="auto"/>
        <w:left w:val="none" w:sz="0" w:space="0" w:color="auto"/>
        <w:bottom w:val="none" w:sz="0" w:space="0" w:color="auto"/>
        <w:right w:val="none" w:sz="0" w:space="0" w:color="auto"/>
      </w:divBdr>
      <w:divsChild>
        <w:div w:id="2065370170">
          <w:marLeft w:val="0"/>
          <w:marRight w:val="0"/>
          <w:marTop w:val="0"/>
          <w:marBottom w:val="0"/>
          <w:divBdr>
            <w:top w:val="none" w:sz="0" w:space="0" w:color="auto"/>
            <w:left w:val="none" w:sz="0" w:space="0" w:color="auto"/>
            <w:bottom w:val="none" w:sz="0" w:space="0" w:color="auto"/>
            <w:right w:val="none" w:sz="0" w:space="0" w:color="auto"/>
          </w:divBdr>
          <w:divsChild>
            <w:div w:id="1188761958">
              <w:marLeft w:val="0"/>
              <w:marRight w:val="0"/>
              <w:marTop w:val="0"/>
              <w:marBottom w:val="0"/>
              <w:divBdr>
                <w:top w:val="none" w:sz="0" w:space="0" w:color="auto"/>
                <w:left w:val="none" w:sz="0" w:space="0" w:color="auto"/>
                <w:bottom w:val="none" w:sz="0" w:space="0" w:color="auto"/>
                <w:right w:val="none" w:sz="0" w:space="0" w:color="auto"/>
              </w:divBdr>
              <w:divsChild>
                <w:div w:id="1618172312">
                  <w:marLeft w:val="0"/>
                  <w:marRight w:val="0"/>
                  <w:marTop w:val="0"/>
                  <w:marBottom w:val="0"/>
                  <w:divBdr>
                    <w:top w:val="none" w:sz="0" w:space="0" w:color="auto"/>
                    <w:left w:val="none" w:sz="0" w:space="0" w:color="auto"/>
                    <w:bottom w:val="none" w:sz="0" w:space="0" w:color="auto"/>
                    <w:right w:val="none" w:sz="0" w:space="0" w:color="auto"/>
                  </w:divBdr>
                  <w:divsChild>
                    <w:div w:id="19472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3561">
      <w:bodyDiv w:val="1"/>
      <w:marLeft w:val="0"/>
      <w:marRight w:val="0"/>
      <w:marTop w:val="0"/>
      <w:marBottom w:val="0"/>
      <w:divBdr>
        <w:top w:val="none" w:sz="0" w:space="0" w:color="auto"/>
        <w:left w:val="none" w:sz="0" w:space="0" w:color="auto"/>
        <w:bottom w:val="none" w:sz="0" w:space="0" w:color="auto"/>
        <w:right w:val="none" w:sz="0" w:space="0" w:color="auto"/>
      </w:divBdr>
    </w:div>
    <w:div w:id="1253972454">
      <w:bodyDiv w:val="1"/>
      <w:marLeft w:val="0"/>
      <w:marRight w:val="0"/>
      <w:marTop w:val="0"/>
      <w:marBottom w:val="0"/>
      <w:divBdr>
        <w:top w:val="none" w:sz="0" w:space="0" w:color="auto"/>
        <w:left w:val="none" w:sz="0" w:space="0" w:color="auto"/>
        <w:bottom w:val="none" w:sz="0" w:space="0" w:color="auto"/>
        <w:right w:val="none" w:sz="0" w:space="0" w:color="auto"/>
      </w:divBdr>
    </w:div>
    <w:div w:id="1655572669">
      <w:bodyDiv w:val="1"/>
      <w:marLeft w:val="0"/>
      <w:marRight w:val="0"/>
      <w:marTop w:val="0"/>
      <w:marBottom w:val="0"/>
      <w:divBdr>
        <w:top w:val="none" w:sz="0" w:space="0" w:color="auto"/>
        <w:left w:val="none" w:sz="0" w:space="0" w:color="auto"/>
        <w:bottom w:val="none" w:sz="0" w:space="0" w:color="auto"/>
        <w:right w:val="none" w:sz="0" w:space="0" w:color="auto"/>
      </w:divBdr>
      <w:divsChild>
        <w:div w:id="1561868581">
          <w:marLeft w:val="0"/>
          <w:marRight w:val="0"/>
          <w:marTop w:val="0"/>
          <w:marBottom w:val="0"/>
          <w:divBdr>
            <w:top w:val="none" w:sz="0" w:space="0" w:color="auto"/>
            <w:left w:val="none" w:sz="0" w:space="0" w:color="auto"/>
            <w:bottom w:val="none" w:sz="0" w:space="0" w:color="auto"/>
            <w:right w:val="none" w:sz="0" w:space="0" w:color="auto"/>
          </w:divBdr>
          <w:divsChild>
            <w:div w:id="80181770">
              <w:marLeft w:val="0"/>
              <w:marRight w:val="0"/>
              <w:marTop w:val="0"/>
              <w:marBottom w:val="0"/>
              <w:divBdr>
                <w:top w:val="none" w:sz="0" w:space="0" w:color="auto"/>
                <w:left w:val="none" w:sz="0" w:space="0" w:color="auto"/>
                <w:bottom w:val="none" w:sz="0" w:space="0" w:color="auto"/>
                <w:right w:val="none" w:sz="0" w:space="0" w:color="auto"/>
              </w:divBdr>
              <w:divsChild>
                <w:div w:id="1800371309">
                  <w:marLeft w:val="0"/>
                  <w:marRight w:val="0"/>
                  <w:marTop w:val="0"/>
                  <w:marBottom w:val="0"/>
                  <w:divBdr>
                    <w:top w:val="none" w:sz="0" w:space="0" w:color="auto"/>
                    <w:left w:val="none" w:sz="0" w:space="0" w:color="auto"/>
                    <w:bottom w:val="none" w:sz="0" w:space="0" w:color="auto"/>
                    <w:right w:val="none" w:sz="0" w:space="0" w:color="auto"/>
                  </w:divBdr>
                </w:div>
              </w:divsChild>
            </w:div>
            <w:div w:id="1927685662">
              <w:marLeft w:val="0"/>
              <w:marRight w:val="0"/>
              <w:marTop w:val="0"/>
              <w:marBottom w:val="0"/>
              <w:divBdr>
                <w:top w:val="none" w:sz="0" w:space="0" w:color="auto"/>
                <w:left w:val="none" w:sz="0" w:space="0" w:color="auto"/>
                <w:bottom w:val="none" w:sz="0" w:space="0" w:color="auto"/>
                <w:right w:val="none" w:sz="0" w:space="0" w:color="auto"/>
              </w:divBdr>
              <w:divsChild>
                <w:div w:id="17949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82105">
      <w:bodyDiv w:val="1"/>
      <w:marLeft w:val="0"/>
      <w:marRight w:val="0"/>
      <w:marTop w:val="0"/>
      <w:marBottom w:val="0"/>
      <w:divBdr>
        <w:top w:val="none" w:sz="0" w:space="0" w:color="auto"/>
        <w:left w:val="none" w:sz="0" w:space="0" w:color="auto"/>
        <w:bottom w:val="none" w:sz="0" w:space="0" w:color="auto"/>
        <w:right w:val="none" w:sz="0" w:space="0" w:color="auto"/>
      </w:divBdr>
    </w:div>
    <w:div w:id="1972592490">
      <w:bodyDiv w:val="1"/>
      <w:marLeft w:val="0"/>
      <w:marRight w:val="0"/>
      <w:marTop w:val="0"/>
      <w:marBottom w:val="0"/>
      <w:divBdr>
        <w:top w:val="none" w:sz="0" w:space="0" w:color="auto"/>
        <w:left w:val="none" w:sz="0" w:space="0" w:color="auto"/>
        <w:bottom w:val="none" w:sz="0" w:space="0" w:color="auto"/>
        <w:right w:val="none" w:sz="0" w:space="0" w:color="auto"/>
      </w:divBdr>
    </w:div>
    <w:div w:id="2128548830">
      <w:bodyDiv w:val="1"/>
      <w:marLeft w:val="0"/>
      <w:marRight w:val="0"/>
      <w:marTop w:val="0"/>
      <w:marBottom w:val="0"/>
      <w:divBdr>
        <w:top w:val="none" w:sz="0" w:space="0" w:color="auto"/>
        <w:left w:val="none" w:sz="0" w:space="0" w:color="auto"/>
        <w:bottom w:val="none" w:sz="0" w:space="0" w:color="auto"/>
        <w:right w:val="none" w:sz="0" w:space="0" w:color="auto"/>
      </w:divBdr>
      <w:divsChild>
        <w:div w:id="1943536980">
          <w:marLeft w:val="0"/>
          <w:marRight w:val="0"/>
          <w:marTop w:val="0"/>
          <w:marBottom w:val="0"/>
          <w:divBdr>
            <w:top w:val="none" w:sz="0" w:space="0" w:color="auto"/>
            <w:left w:val="none" w:sz="0" w:space="0" w:color="auto"/>
            <w:bottom w:val="none" w:sz="0" w:space="0" w:color="auto"/>
            <w:right w:val="none" w:sz="0" w:space="0" w:color="auto"/>
          </w:divBdr>
          <w:divsChild>
            <w:div w:id="14226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hairston/BMI550Assignment2" TargetMode="External"/><Relationship Id="rId3" Type="http://schemas.openxmlformats.org/officeDocument/2006/relationships/settings" Target="settings.xml"/><Relationship Id="rId7" Type="http://schemas.openxmlformats.org/officeDocument/2006/relationships/hyperlink" Target="https://github.com/jmhairston/BMI550Assignmen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ha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Hairston, JaMor</dc:creator>
  <cp:keywords/>
  <dc:description/>
  <cp:lastModifiedBy>JaMor Hairston</cp:lastModifiedBy>
  <cp:revision>15</cp:revision>
  <cp:lastPrinted>2023-12-05T23:30:00Z</cp:lastPrinted>
  <dcterms:created xsi:type="dcterms:W3CDTF">2023-09-27T03:52:00Z</dcterms:created>
  <dcterms:modified xsi:type="dcterms:W3CDTF">2023-12-05T23:35:00Z</dcterms:modified>
</cp:coreProperties>
</file>