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54691F"/>
        </w:rPr>
        <w:t xml:space="preserve">Airborne Team Building</w:t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>Bringing your employees together</w:t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color w:val="3179AF"/>
        </w:rPr>
        <w:t xml:space="preserve">Benefits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333333"/>
        </w:rPr>
        <w:t xml:space="preserve"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333333"/>
        </w:rPr>
        <w:t xml:space="preserve">We provide </w:t>
      </w:r>
      <w:r>
        <w:rPr>
          <w:rFonts w:ascii="Times New Roman" w:hAnsi="Times New Roman" w:cs="Times New Roman"/>
          <w:sz w:val="24"/>
          <w:sz-cs w:val="24"/>
          <w:b/>
          <w:color w:val="54691F"/>
        </w:rPr>
        <w:t xml:space="preserve">external facilitation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r>
        <w:rPr>
          <w:rFonts w:ascii="Times New Roman" w:hAnsi="Times New Roman" w:cs="Times New Roman"/>
          <w:sz w:val="24"/>
          <w:sz-cs w:val="24"/>
          <w:b/>
          <w:color w:val="54691F"/>
        </w:rPr>
        <w:t xml:space="preserve">cooking classes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b/>
          <w:color w:val="8B5022"/>
        </w:rPr>
        <w:t xml:space="preserve">Price List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Activity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Cost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Code of Conduct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$300.00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Campfire Stories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$200.00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Memory Wall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$100.00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Tech Social Network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$500.00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CocoaOOXMLWriter/2113.6</generator>
</meta>
</file>