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6"/>
          <w:szCs w:val="56"/>
        </w:rPr>
        <w:t xml:space="preserve">HIPAA</w:t>
      </w:r>
    </w:p>
    <w:p>
      <w:pPr>
        <w:spacing w:after="120" w:before="0"/>
        <w:jc w:val="center"/>
      </w:pPr>
      <w:r>
        <w:rPr>
          <w:rFonts w:ascii="Arial" w:cs="Arial" w:eastAsia="Arial" w:hAnsi="Arial"/>
          <w:b/>
          <w:bCs/>
          <w:color w:val="1F3864"/>
          <w:sz w:val="36"/>
          <w:szCs w:val="36"/>
        </w:rPr>
        <w:t xml:space="preserve">BUSINESS ASSOCIATE AGREEMENT</w:t>
      </w:r>
    </w:p>
    <w:p>
      <w:pPr>
        <w:spacing w:after="400" w:before="0"/>
        <w:jc w:val="center"/>
      </w:pPr>
      <w:r>
        <w:rPr>
          <w:rFonts w:ascii="Arial" w:cs="Arial" w:eastAsia="Arial" w:hAnsi="Arial"/>
          <w:i/>
          <w:iCs/>
          <w:color w:val="2E75B6"/>
          <w:sz w:val="26"/>
          <w:szCs w:val="26"/>
        </w:rPr>
        <w:t xml:space="preserve">Clarity — AI Clinical Note Generator</w:t>
      </w:r>
    </w:p>
    <w:p>
      <w:pPr>
        <w:pBdr>
          <w:bottom w:val="single" w:color="2E75B6" w:sz="6" w:space="1"/>
        </w:pBdr>
        <w:spacing w:after="200" w:before="200"/>
      </w:pPr>
    </w:p>
    <w:p>
      <w:pPr>
        <w:spacing w:after="80" w:before="80"/>
      </w:pPr>
      <w:r>
        <w:rPr>
          <w:rFonts w:ascii="Arial" w:cs="Arial" w:eastAsia="Arial" w:hAnsi="Arial"/>
          <w:sz w:val="22"/>
          <w:szCs w:val="22"/>
        </w:rPr>
        <w:t xml:space="preserve">This </w:t>
      </w:r>
      <w:r>
        <w:rPr>
          <w:rFonts w:ascii="Arial" w:cs="Arial" w:eastAsia="Arial" w:hAnsi="Arial"/>
          <w:b/>
          <w:bCs/>
          <w:sz w:val="22"/>
          <w:szCs w:val="22"/>
        </w:rPr>
        <w:t xml:space="preserve">Business Associate Agreement</w:t>
      </w:r>
      <w:r>
        <w:rPr>
          <w:rFonts w:ascii="Arial" w:cs="Arial" w:eastAsia="Arial" w:hAnsi="Arial"/>
          <w:sz w:val="22"/>
          <w:szCs w:val="22"/>
        </w:rPr>
        <w:t xml:space="preserve"> ("</w:t>
      </w:r>
      <w:r>
        <w:rPr>
          <w:rFonts w:ascii="Arial" w:cs="Arial" w:eastAsia="Arial" w:hAnsi="Arial"/>
          <w:b/>
          <w:bCs/>
          <w:sz w:val="22"/>
          <w:szCs w:val="22"/>
        </w:rPr>
        <w:t xml:space="preserve">Agreement</w:t>
      </w:r>
      <w:r>
        <w:rPr>
          <w:rFonts w:ascii="Arial" w:cs="Arial" w:eastAsia="Arial" w:hAnsi="Arial"/>
          <w:sz w:val="22"/>
          <w:szCs w:val="22"/>
        </w:rPr>
        <w:t xml:space="preserve">") is entered into as of the date last signed below (</w:t>
      </w:r>
      <w:r>
        <w:rPr>
          <w:rFonts w:ascii="Arial" w:cs="Arial" w:eastAsia="Arial" w:hAnsi="Arial"/>
          <w:b/>
          <w:bCs/>
          <w:sz w:val="22"/>
          <w:szCs w:val="22"/>
        </w:rPr>
        <w:t xml:space="preserve">"Effective Date"</w:t>
      </w:r>
      <w:r>
        <w:rPr>
          <w:rFonts w:ascii="Arial" w:cs="Arial" w:eastAsia="Arial" w:hAnsi="Arial"/>
          <w:sz w:val="22"/>
          <w:szCs w:val="22"/>
        </w:rPr>
        <w:t xml:space="preserve">) between the health care provider, practice, or organization identified in the signature block below (</w:t>
      </w:r>
      <w:r>
        <w:rPr>
          <w:rFonts w:ascii="Arial" w:cs="Arial" w:eastAsia="Arial" w:hAnsi="Arial"/>
          <w:b/>
          <w:bCs/>
          <w:sz w:val="22"/>
          <w:szCs w:val="22"/>
        </w:rPr>
        <w:t xml:space="preserve">"Covered Entity"</w:t>
      </w:r>
      <w:r>
        <w:rPr>
          <w:rFonts w:ascii="Arial" w:cs="Arial" w:eastAsia="Arial" w:hAnsi="Arial"/>
          <w:sz w:val="22"/>
          <w:szCs w:val="22"/>
        </w:rPr>
        <w:t xml:space="preserve">), and </w:t>
      </w:r>
      <w:r>
        <w:rPr>
          <w:rFonts w:ascii="Arial" w:cs="Arial" w:eastAsia="Arial" w:hAnsi="Arial"/>
          <w:b/>
          <w:bCs/>
          <w:sz w:val="22"/>
          <w:szCs w:val="22"/>
        </w:rPr>
        <w:t xml:space="preserve">Bearing Digital LLC</w:t>
      </w:r>
      <w:r>
        <w:rPr>
          <w:rFonts w:ascii="Arial" w:cs="Arial" w:eastAsia="Arial" w:hAnsi="Arial"/>
          <w:sz w:val="22"/>
          <w:szCs w:val="22"/>
        </w:rPr>
        <w:t xml:space="preserve">, a Maryland limited liability company operating the </w:t>
      </w:r>
      <w:r>
        <w:rPr>
          <w:rFonts w:ascii="Arial" w:cs="Arial" w:eastAsia="Arial" w:hAnsi="Arial"/>
          <w:b/>
          <w:bCs/>
          <w:sz w:val="22"/>
          <w:szCs w:val="22"/>
        </w:rPr>
        <w:t xml:space="preserve">Clarity</w:t>
      </w:r>
      <w:r>
        <w:rPr>
          <w:rFonts w:ascii="Arial" w:cs="Arial" w:eastAsia="Arial" w:hAnsi="Arial"/>
          <w:sz w:val="22"/>
          <w:szCs w:val="22"/>
        </w:rPr>
        <w:t xml:space="preserve"> AI clinical note generator service (</w:t>
      </w:r>
      <w:r>
        <w:rPr>
          <w:rFonts w:ascii="Arial" w:cs="Arial" w:eastAsia="Arial" w:hAnsi="Arial"/>
          <w:b/>
          <w:bCs/>
          <w:sz w:val="22"/>
          <w:szCs w:val="22"/>
        </w:rPr>
        <w:t xml:space="preserve">"Business Associate"</w:t>
      </w:r>
      <w:r>
        <w:rPr>
          <w:rFonts w:ascii="Arial" w:cs="Arial" w:eastAsia="Arial" w:hAnsi="Arial"/>
          <w:sz w:val="22"/>
          <w:szCs w:val="22"/>
        </w:rPr>
        <w:t xml:space="preserve">).</w:t>
      </w:r>
    </w:p>
    <w:p>
      <w:pPr>
        <w:spacing w:after="60" w:before="60"/>
      </w:pPr>
    </w:p>
    <w:p>
      <w:pPr>
        <w:spacing w:after="80" w:before="80"/>
      </w:pPr>
      <w:r>
        <w:rPr>
          <w:rFonts w:ascii="Arial" w:cs="Arial" w:eastAsia="Arial" w:hAnsi="Arial"/>
          <w:sz w:val="22"/>
          <w:szCs w:val="22"/>
        </w:rPr>
        <w:t xml:space="preserve">This Agreement is entered into pursuant to the requirements of the Health Insurance Portability and Accountability Act of 1996 (</w:t>
      </w:r>
      <w:r>
        <w:rPr>
          <w:rFonts w:ascii="Arial" w:cs="Arial" w:eastAsia="Arial" w:hAnsi="Arial"/>
          <w:b/>
          <w:bCs/>
          <w:sz w:val="22"/>
          <w:szCs w:val="22"/>
        </w:rPr>
        <w:t xml:space="preserve">HIPAA</w:t>
      </w:r>
      <w:r>
        <w:rPr>
          <w:rFonts w:ascii="Arial" w:cs="Arial" w:eastAsia="Arial" w:hAnsi="Arial"/>
          <w:sz w:val="22"/>
          <w:szCs w:val="22"/>
        </w:rPr>
        <w:t xml:space="preserve">), the Health Information Technology for Economic and Clinical Health Act (</w:t>
      </w:r>
      <w:r>
        <w:rPr>
          <w:rFonts w:ascii="Arial" w:cs="Arial" w:eastAsia="Arial" w:hAnsi="Arial"/>
          <w:b/>
          <w:bCs/>
          <w:sz w:val="22"/>
          <w:szCs w:val="22"/>
        </w:rPr>
        <w:t xml:space="preserve">HITECH</w:t>
      </w:r>
      <w:r>
        <w:rPr>
          <w:rFonts w:ascii="Arial" w:cs="Arial" w:eastAsia="Arial" w:hAnsi="Arial"/>
          <w:sz w:val="22"/>
          <w:szCs w:val="22"/>
        </w:rPr>
        <w:t xml:space="preserve">), and their implementing regulations at 45 C.F.R. Parts 160 and 164 (collectively, the </w:t>
      </w:r>
      <w:r>
        <w:rPr>
          <w:rFonts w:ascii="Arial" w:cs="Arial" w:eastAsia="Arial" w:hAnsi="Arial"/>
          <w:b/>
          <w:bCs/>
          <w:sz w:val="22"/>
          <w:szCs w:val="22"/>
        </w:rPr>
        <w:t xml:space="preserve">"HIPAA Rules"</w:t>
      </w:r>
      <w:r>
        <w:rPr>
          <w:rFonts w:ascii="Arial" w:cs="Arial" w:eastAsia="Arial" w:hAnsi="Arial"/>
          <w:sz w:val="22"/>
          <w:szCs w:val="22"/>
        </w:rPr>
        <w:t xml:space="preserve">).</w:t>
      </w:r>
    </w:p>
    <w:p>
      <w:pPr>
        <w:spacing w:after="60" w:before="60"/>
      </w:pPr>
    </w:p>
    <w:p>
      <w:pPr>
        <w:spacing w:after="80" w:before="80"/>
      </w:pPr>
      <w:r>
        <w:rPr>
          <w:rFonts w:ascii="Arial" w:cs="Arial" w:eastAsia="Arial" w:hAnsi="Arial"/>
          <w:sz w:val="22"/>
          <w:szCs w:val="22"/>
        </w:rPr>
        <w:t xml:space="preserve">To the extent Covered Entity is subject to the Maryland Personal Information Protection Act (MPIPA) or the Maryland Online Data Privacy Act (MODPA), this Agreement also addresses obligations with respect to sensitive personal data, including mental health and behavioral health information.</w:t>
      </w:r>
    </w:p>
    <w:p>
      <w:pPr>
        <w:pBdr>
          <w:bottom w:val="single" w:color="2E75B6" w:sz="6" w:space="1"/>
        </w:pBdr>
        <w:spacing w:after="200" w:before="200"/>
      </w:pPr>
    </w:p>
    <w:p>
      <w:pPr>
        <w:pStyle w:val="Heading1"/>
        <w:spacing w:after="120" w:before="320"/>
      </w:pPr>
      <w:r>
        <w:rPr>
          <w:rFonts w:ascii="Arial" w:cs="Arial" w:eastAsia="Arial" w:hAnsi="Arial"/>
          <w:b/>
          <w:bCs/>
          <w:color w:val="1F3864"/>
          <w:sz w:val="28"/>
          <w:szCs w:val="28"/>
        </w:rPr>
        <w:t xml:space="preserve">ARTICLE I — DEFINITIONS</w:t>
      </w:r>
    </w:p>
    <w:p>
      <w:pPr>
        <w:spacing w:after="80" w:before="80"/>
      </w:pPr>
      <w:r>
        <w:rPr>
          <w:rFonts w:ascii="Arial" w:cs="Arial" w:eastAsia="Arial" w:hAnsi="Arial"/>
          <w:sz w:val="22"/>
          <w:szCs w:val="22"/>
        </w:rPr>
        <w:t xml:space="preserve">Capitalized terms not otherwise defined herein shall have the meanings ascribed to them under the HIPAA Rules. The following definitions shall apply for purposes of this Agreement:</w:t>
      </w:r>
    </w:p>
    <w:p>
      <w:pPr>
        <w:spacing w:after="60" w:before="60"/>
      </w:pPr>
    </w:p>
    <w:p>
      <w:pPr>
        <w:spacing w:after="80" w:before="80"/>
      </w:pPr>
      <w:r>
        <w:rPr>
          <w:rFonts w:ascii="Arial" w:cs="Arial" w:eastAsia="Arial" w:hAnsi="Arial"/>
          <w:b/>
          <w:bCs/>
          <w:sz w:val="22"/>
          <w:szCs w:val="22"/>
        </w:rPr>
        <w:t xml:space="preserve">1.1 “Business Associate” </w:t>
      </w:r>
      <w:r>
        <w:rPr>
          <w:rFonts w:ascii="Arial" w:cs="Arial" w:eastAsia="Arial" w:hAnsi="Arial"/>
          <w:sz w:val="22"/>
          <w:szCs w:val="22"/>
        </w:rPr>
        <w:t xml:space="preserve">means Bearing Digital LLC, operating the Clarity AI clinical note generator service at clarity.bearingdigital.com.</w:t>
      </w:r>
    </w:p>
    <w:p>
      <w:pPr>
        <w:spacing w:after="80" w:before="80"/>
      </w:pPr>
      <w:r>
        <w:rPr>
          <w:rFonts w:ascii="Arial" w:cs="Arial" w:eastAsia="Arial" w:hAnsi="Arial"/>
          <w:b/>
          <w:bCs/>
          <w:sz w:val="22"/>
          <w:szCs w:val="22"/>
        </w:rPr>
        <w:t xml:space="preserve">1.2 “Covered Entity” </w:t>
      </w:r>
      <w:r>
        <w:rPr>
          <w:rFonts w:ascii="Arial" w:cs="Arial" w:eastAsia="Arial" w:hAnsi="Arial"/>
          <w:sz w:val="22"/>
          <w:szCs w:val="22"/>
        </w:rPr>
        <w:t xml:space="preserve">means the licensed healthcare provider, practice group, clinic, or other HIPAA-covered entity identified in the signature block of this Agreement.</w:t>
      </w:r>
    </w:p>
    <w:p>
      <w:pPr>
        <w:spacing w:after="80" w:before="80"/>
      </w:pPr>
      <w:r>
        <w:rPr>
          <w:rFonts w:ascii="Arial" w:cs="Arial" w:eastAsia="Arial" w:hAnsi="Arial"/>
          <w:b/>
          <w:bCs/>
          <w:sz w:val="22"/>
          <w:szCs w:val="22"/>
        </w:rPr>
        <w:t xml:space="preserve">1.3 “Designated Record Set” </w:t>
      </w:r>
      <w:r>
        <w:rPr>
          <w:rFonts w:ascii="Arial" w:cs="Arial" w:eastAsia="Arial" w:hAnsi="Arial"/>
          <w:sz w:val="22"/>
          <w:szCs w:val="22"/>
        </w:rPr>
        <w:t xml:space="preserve">has the meaning set forth in 45 C.F.R. § 164.501.</w:t>
      </w:r>
    </w:p>
    <w:p>
      <w:pPr>
        <w:spacing w:after="80" w:before="80"/>
      </w:pPr>
      <w:r>
        <w:rPr>
          <w:rFonts w:ascii="Arial" w:cs="Arial" w:eastAsia="Arial" w:hAnsi="Arial"/>
          <w:b/>
          <w:bCs/>
          <w:sz w:val="22"/>
          <w:szCs w:val="22"/>
        </w:rPr>
        <w:t xml:space="preserve">1.4 “Disclosure” </w:t>
      </w:r>
      <w:r>
        <w:rPr>
          <w:rFonts w:ascii="Arial" w:cs="Arial" w:eastAsia="Arial" w:hAnsi="Arial"/>
          <w:sz w:val="22"/>
          <w:szCs w:val="22"/>
        </w:rPr>
        <w:t xml:space="preserve">has the meaning set forth in 45 C.F.R. § 160.103.</w:t>
      </w:r>
    </w:p>
    <w:p>
      <w:pPr>
        <w:spacing w:after="80" w:before="80"/>
      </w:pPr>
      <w:r>
        <w:rPr>
          <w:rFonts w:ascii="Arial" w:cs="Arial" w:eastAsia="Arial" w:hAnsi="Arial"/>
          <w:b/>
          <w:bCs/>
          <w:sz w:val="22"/>
          <w:szCs w:val="22"/>
        </w:rPr>
        <w:t xml:space="preserve">1.5 “HIPAASecure Email” </w:t>
      </w:r>
      <w:r>
        <w:rPr>
          <w:rFonts w:ascii="Arial" w:cs="Arial" w:eastAsia="Arial" w:hAnsi="Arial"/>
          <w:sz w:val="22"/>
          <w:szCs w:val="22"/>
        </w:rPr>
        <w:t xml:space="preserve">means electronic mail transmitted using encryption meeting the standards required by the HIPAA Security Rule for Electronic Protected Health Information in transit.</w:t>
      </w:r>
    </w:p>
    <w:p>
      <w:pPr>
        <w:spacing w:after="80" w:before="80"/>
      </w:pPr>
      <w:r>
        <w:rPr>
          <w:rFonts w:ascii="Arial" w:cs="Arial" w:eastAsia="Arial" w:hAnsi="Arial"/>
          <w:b/>
          <w:bCs/>
          <w:sz w:val="22"/>
          <w:szCs w:val="22"/>
        </w:rPr>
        <w:t xml:space="preserve">1.6 “Individual” </w:t>
      </w:r>
      <w:r>
        <w:rPr>
          <w:rFonts w:ascii="Arial" w:cs="Arial" w:eastAsia="Arial" w:hAnsi="Arial"/>
          <w:sz w:val="22"/>
          <w:szCs w:val="22"/>
        </w:rPr>
        <w:t xml:space="preserve">has the meaning set forth in 45 C.F.R. § 160.103 and shall include a person who qualifies as a Personal Representative.</w:t>
      </w:r>
    </w:p>
    <w:p>
      <w:pPr>
        <w:spacing w:after="80" w:before="80"/>
      </w:pPr>
      <w:r>
        <w:rPr>
          <w:rFonts w:ascii="Arial" w:cs="Arial" w:eastAsia="Arial" w:hAnsi="Arial"/>
          <w:b/>
          <w:bCs/>
          <w:sz w:val="22"/>
          <w:szCs w:val="22"/>
        </w:rPr>
        <w:t xml:space="preserve">1.7 “Maryland Sensitive Data” </w:t>
      </w:r>
      <w:r>
        <w:rPr>
          <w:rFonts w:ascii="Arial" w:cs="Arial" w:eastAsia="Arial" w:hAnsi="Arial"/>
          <w:sz w:val="22"/>
          <w:szCs w:val="22"/>
        </w:rPr>
        <w:t xml:space="preserve">means Protected Health Information, mental health records, behavioral health information, substance use disorder records, or other categories of personal information accorded heightened protection under Maryland law, including the Confidentiality of Medical Records Act (Md. Health-Gen. § 4-301 et seq.) and MODPA.</w:t>
      </w:r>
    </w:p>
    <w:p>
      <w:pPr>
        <w:spacing w:after="80" w:before="80"/>
      </w:pPr>
      <w:r>
        <w:rPr>
          <w:rFonts w:ascii="Arial" w:cs="Arial" w:eastAsia="Arial" w:hAnsi="Arial"/>
          <w:b/>
          <w:bCs/>
          <w:sz w:val="22"/>
          <w:szCs w:val="22"/>
        </w:rPr>
        <w:t xml:space="preserve">1.8 “Privacy Rule” </w:t>
      </w:r>
      <w:r>
        <w:rPr>
          <w:rFonts w:ascii="Arial" w:cs="Arial" w:eastAsia="Arial" w:hAnsi="Arial"/>
          <w:sz w:val="22"/>
          <w:szCs w:val="22"/>
        </w:rPr>
        <w:t xml:space="preserve">means the Standards for Privacy of Individually Identifiable Health Information at 45 C.F.R. Part 164, Subparts A and E.</w:t>
      </w:r>
    </w:p>
    <w:p>
      <w:pPr>
        <w:spacing w:after="80" w:before="80"/>
      </w:pPr>
      <w:r>
        <w:rPr>
          <w:rFonts w:ascii="Arial" w:cs="Arial" w:eastAsia="Arial" w:hAnsi="Arial"/>
          <w:b/>
          <w:bCs/>
          <w:sz w:val="22"/>
          <w:szCs w:val="22"/>
        </w:rPr>
        <w:t xml:space="preserve">1.9 “Protected Health Information” or “PHI” </w:t>
      </w:r>
      <w:r>
        <w:rPr>
          <w:rFonts w:ascii="Arial" w:cs="Arial" w:eastAsia="Arial" w:hAnsi="Arial"/>
          <w:sz w:val="22"/>
          <w:szCs w:val="22"/>
        </w:rPr>
        <w:t xml:space="preserve">has the meaning set forth in 45 C.F.R. § 160.103, limited to the information created, received, maintained, or transmitted by Business Associate on behalf of Covered Entity. PHI as used in this Agreement includes Electronic Protected Health Information (“ePHI”) unless otherwise specified.</w:t>
      </w:r>
    </w:p>
    <w:p>
      <w:pPr>
        <w:spacing w:after="80" w:before="80"/>
      </w:pPr>
      <w:r>
        <w:rPr>
          <w:rFonts w:ascii="Arial" w:cs="Arial" w:eastAsia="Arial" w:hAnsi="Arial"/>
          <w:b/>
          <w:bCs/>
          <w:sz w:val="22"/>
          <w:szCs w:val="22"/>
        </w:rPr>
        <w:t xml:space="preserve">1.10 “Required By Law” </w:t>
      </w:r>
      <w:r>
        <w:rPr>
          <w:rFonts w:ascii="Arial" w:cs="Arial" w:eastAsia="Arial" w:hAnsi="Arial"/>
          <w:sz w:val="22"/>
          <w:szCs w:val="22"/>
        </w:rPr>
        <w:t xml:space="preserve">has the meaning set forth in 45 C.F.R. § 164.103.</w:t>
      </w:r>
    </w:p>
    <w:p>
      <w:pPr>
        <w:spacing w:after="80" w:before="80"/>
      </w:pPr>
      <w:r>
        <w:rPr>
          <w:rFonts w:ascii="Arial" w:cs="Arial" w:eastAsia="Arial" w:hAnsi="Arial"/>
          <w:b/>
          <w:bCs/>
          <w:sz w:val="22"/>
          <w:szCs w:val="22"/>
        </w:rPr>
        <w:t xml:space="preserve">1.11 “SecretaryReport” </w:t>
      </w:r>
      <w:r>
        <w:rPr>
          <w:rFonts w:ascii="Arial" w:cs="Arial" w:eastAsia="Arial" w:hAnsi="Arial"/>
          <w:sz w:val="22"/>
          <w:szCs w:val="22"/>
        </w:rPr>
        <w:t xml:space="preserve">means the Secretary of the U.S. Department of Health and Human Services.</w:t>
      </w:r>
    </w:p>
    <w:p>
      <w:pPr>
        <w:spacing w:after="80" w:before="80"/>
      </w:pPr>
      <w:r>
        <w:rPr>
          <w:rFonts w:ascii="Arial" w:cs="Arial" w:eastAsia="Arial" w:hAnsi="Arial"/>
          <w:b/>
          <w:bCs/>
          <w:sz w:val="22"/>
          <w:szCs w:val="22"/>
        </w:rPr>
        <w:t xml:space="preserve">1.12 “Security Incident” </w:t>
      </w:r>
      <w:r>
        <w:rPr>
          <w:rFonts w:ascii="Arial" w:cs="Arial" w:eastAsia="Arial" w:hAnsi="Arial"/>
          <w:sz w:val="22"/>
          <w:szCs w:val="22"/>
        </w:rPr>
        <w:t xml:space="preserve">has the meaning set forth in 45 C.F.R. § 164.304.</w:t>
      </w:r>
    </w:p>
    <w:p>
      <w:pPr>
        <w:spacing w:after="80" w:before="80"/>
      </w:pPr>
      <w:r>
        <w:rPr>
          <w:rFonts w:ascii="Arial" w:cs="Arial" w:eastAsia="Arial" w:hAnsi="Arial"/>
          <w:b/>
          <w:bCs/>
          <w:sz w:val="22"/>
          <w:szCs w:val="22"/>
        </w:rPr>
        <w:t xml:space="preserve">1.13 “Security Rule” </w:t>
      </w:r>
      <w:r>
        <w:rPr>
          <w:rFonts w:ascii="Arial" w:cs="Arial" w:eastAsia="Arial" w:hAnsi="Arial"/>
          <w:sz w:val="22"/>
          <w:szCs w:val="22"/>
        </w:rPr>
        <w:t xml:space="preserve">means the Security Standards for the Protection of Electronic Protected Health Information at 45 C.F.R. Part 164, Subparts A and C.</w:t>
      </w:r>
    </w:p>
    <w:p>
      <w:pPr>
        <w:spacing w:after="80" w:before="80"/>
      </w:pPr>
      <w:r>
        <w:rPr>
          <w:rFonts w:ascii="Arial" w:cs="Arial" w:eastAsia="Arial" w:hAnsi="Arial"/>
          <w:b/>
          <w:bCs/>
          <w:sz w:val="22"/>
          <w:szCs w:val="22"/>
        </w:rPr>
        <w:t xml:space="preserve">1.14 “Services” </w:t>
      </w:r>
      <w:r>
        <w:rPr>
          <w:rFonts w:ascii="Arial" w:cs="Arial" w:eastAsia="Arial" w:hAnsi="Arial"/>
          <w:sz w:val="22"/>
          <w:szCs w:val="22"/>
        </w:rPr>
        <w:t xml:space="preserve">means the AI-assisted clinical progress note generation services provided by Business Associate through the Clarity platform, including session intake form processing, note drafting, edit tracking, and secure data purge functions.</w:t>
      </w:r>
    </w:p>
    <w:p>
      <w:pPr>
        <w:spacing w:after="80" w:before="80"/>
      </w:pPr>
      <w:r>
        <w:rPr>
          <w:rFonts w:ascii="Arial" w:cs="Arial" w:eastAsia="Arial" w:hAnsi="Arial"/>
          <w:b/>
          <w:bCs/>
          <w:sz w:val="22"/>
          <w:szCs w:val="22"/>
        </w:rPr>
        <w:t xml:space="preserve">1.15 “Subcontractor” </w:t>
      </w:r>
      <w:r>
        <w:rPr>
          <w:rFonts w:ascii="Arial" w:cs="Arial" w:eastAsia="Arial" w:hAnsi="Arial"/>
          <w:sz w:val="22"/>
          <w:szCs w:val="22"/>
        </w:rPr>
        <w:t xml:space="preserve">has the meaning set forth in 45 C.F.R. § 160.103.</w:t>
      </w:r>
    </w:p>
    <w:p>
      <w:pPr>
        <w:spacing w:after="80" w:before="80"/>
      </w:pPr>
      <w:r>
        <w:rPr>
          <w:rFonts w:ascii="Arial" w:cs="Arial" w:eastAsia="Arial" w:hAnsi="Arial"/>
          <w:b/>
          <w:bCs/>
          <w:sz w:val="22"/>
          <w:szCs w:val="22"/>
        </w:rPr>
        <w:t xml:space="preserve">1.16 “Unsecured PHI” </w:t>
      </w:r>
      <w:r>
        <w:rPr>
          <w:rFonts w:ascii="Arial" w:cs="Arial" w:eastAsia="Arial" w:hAnsi="Arial"/>
          <w:sz w:val="22"/>
          <w:szCs w:val="22"/>
        </w:rPr>
        <w:t xml:space="preserve">has the meaning set forth in 45 C.F.R. § 164.402.</w:t>
      </w:r>
    </w:p>
    <w:p>
      <w:pPr>
        <w:spacing w:after="80" w:before="80"/>
      </w:pPr>
      <w:r>
        <w:rPr>
          <w:rFonts w:ascii="Arial" w:cs="Arial" w:eastAsia="Arial" w:hAnsi="Arial"/>
          <w:b/>
          <w:bCs/>
          <w:sz w:val="22"/>
          <w:szCs w:val="22"/>
        </w:rPr>
        <w:t xml:space="preserve">1.17 “Use” </w:t>
      </w:r>
      <w:r>
        <w:rPr>
          <w:rFonts w:ascii="Arial" w:cs="Arial" w:eastAsia="Arial" w:hAnsi="Arial"/>
          <w:sz w:val="22"/>
          <w:szCs w:val="22"/>
        </w:rPr>
        <w:t xml:space="preserve">has the meaning set forth in 45 C.F.R. § 160.103.</w:t>
      </w:r>
    </w:p>
    <w:p>
      <w:pPr>
        <w:pStyle w:val="Heading1"/>
        <w:spacing w:after="120" w:before="320"/>
      </w:pPr>
      <w:r>
        <w:rPr>
          <w:rFonts w:ascii="Arial" w:cs="Arial" w:eastAsia="Arial" w:hAnsi="Arial"/>
          <w:b/>
          <w:bCs/>
          <w:color w:val="1F3864"/>
          <w:sz w:val="28"/>
          <w:szCs w:val="28"/>
        </w:rPr>
        <w:t xml:space="preserve">ARTICLE II — OBLIGATIONS OF BUSINESS ASSOCIATE</w:t>
      </w:r>
    </w:p>
    <w:p>
      <w:pPr>
        <w:pStyle w:val="Heading2"/>
        <w:spacing w:after="80" w:before="200"/>
      </w:pPr>
      <w:r>
        <w:rPr>
          <w:rFonts w:ascii="Arial" w:cs="Arial" w:eastAsia="Arial" w:hAnsi="Arial"/>
          <w:b/>
          <w:bCs/>
          <w:color w:val="2E75B6"/>
          <w:sz w:val="24"/>
          <w:szCs w:val="24"/>
        </w:rPr>
        <w:t xml:space="preserve">2.1 Permitted Uses and Disclosures</w:t>
      </w:r>
    </w:p>
    <w:p>
      <w:pPr>
        <w:spacing w:after="80" w:before="80"/>
      </w:pPr>
      <w:r>
        <w:rPr>
          <w:rFonts w:ascii="Arial" w:cs="Arial" w:eastAsia="Arial" w:hAnsi="Arial"/>
          <w:sz w:val="22"/>
          <w:szCs w:val="22"/>
        </w:rPr>
        <w:t xml:space="preserve">Business Associate may use or disclose PHI only as follows:</w:t>
      </w:r>
    </w:p>
    <w:p>
      <w:pPr>
        <w:spacing w:after="60" w:before="60"/>
        <w:ind w:left="720"/>
      </w:pPr>
      <w:r>
        <w:rPr>
          <w:rFonts w:ascii="Arial" w:cs="Arial" w:eastAsia="Arial" w:hAnsi="Arial"/>
          <w:b/>
          <w:bCs/>
          <w:sz w:val="22"/>
          <w:szCs w:val="22"/>
        </w:rPr>
        <w:t xml:space="preserve">(a) </w:t>
      </w:r>
      <w:r>
        <w:rPr>
          <w:rFonts w:ascii="Arial" w:cs="Arial" w:eastAsia="Arial" w:hAnsi="Arial"/>
          <w:sz w:val="22"/>
          <w:szCs w:val="22"/>
        </w:rPr>
        <w:t xml:space="preserve">To perform the Services specified in the applicable service agreement or subscription terms between the parties;</w:t>
      </w:r>
    </w:p>
    <w:p>
      <w:pPr>
        <w:spacing w:after="60" w:before="60"/>
        <w:ind w:left="720"/>
      </w:pPr>
      <w:r>
        <w:rPr>
          <w:rFonts w:ascii="Arial" w:cs="Arial" w:eastAsia="Arial" w:hAnsi="Arial"/>
          <w:b/>
          <w:bCs/>
          <w:sz w:val="22"/>
          <w:szCs w:val="22"/>
        </w:rPr>
        <w:t xml:space="preserve">(b) </w:t>
      </w:r>
      <w:r>
        <w:rPr>
          <w:rFonts w:ascii="Arial" w:cs="Arial" w:eastAsia="Arial" w:hAnsi="Arial"/>
          <w:sz w:val="22"/>
          <w:szCs w:val="22"/>
        </w:rPr>
        <w:t xml:space="preserve">As Required By Law;</w:t>
      </w:r>
    </w:p>
    <w:p>
      <w:pPr>
        <w:spacing w:after="60" w:before="60"/>
        <w:ind w:left="720"/>
      </w:pPr>
      <w:r>
        <w:rPr>
          <w:rFonts w:ascii="Arial" w:cs="Arial" w:eastAsia="Arial" w:hAnsi="Arial"/>
          <w:b/>
          <w:bCs/>
          <w:sz w:val="22"/>
          <w:szCs w:val="22"/>
        </w:rPr>
        <w:t xml:space="preserve">(c) </w:t>
      </w:r>
      <w:r>
        <w:rPr>
          <w:rFonts w:ascii="Arial" w:cs="Arial" w:eastAsia="Arial" w:hAnsi="Arial"/>
          <w:sz w:val="22"/>
          <w:szCs w:val="22"/>
        </w:rPr>
        <w:t xml:space="preserve">For the proper management and administration of Business Associate, provided that disclosures are Required By Law or Business Associate obtains reasonable assurances that the information will be held confidentially and used or further disclosed only as Required By Law or for the purpose for which it was disclosed; and</w:t>
      </w:r>
    </w:p>
    <w:p>
      <w:pPr>
        <w:spacing w:after="60" w:before="60"/>
        <w:ind w:left="720"/>
      </w:pPr>
      <w:r>
        <w:rPr>
          <w:rFonts w:ascii="Arial" w:cs="Arial" w:eastAsia="Arial" w:hAnsi="Arial"/>
          <w:b/>
          <w:bCs/>
          <w:sz w:val="22"/>
          <w:szCs w:val="22"/>
        </w:rPr>
        <w:t xml:space="preserve">(d) </w:t>
      </w:r>
      <w:r>
        <w:rPr>
          <w:rFonts w:ascii="Arial" w:cs="Arial" w:eastAsia="Arial" w:hAnsi="Arial"/>
          <w:sz w:val="22"/>
          <w:szCs w:val="22"/>
        </w:rPr>
        <w:t xml:space="preserve">To carry out the legal responsibilities of Business Associate, under the same conditions stated in subsection (c) above.</w:t>
      </w:r>
    </w:p>
    <w:p>
      <w:pPr>
        <w:pStyle w:val="Heading2"/>
        <w:spacing w:after="80" w:before="200"/>
      </w:pPr>
      <w:r>
        <w:rPr>
          <w:rFonts w:ascii="Arial" w:cs="Arial" w:eastAsia="Arial" w:hAnsi="Arial"/>
          <w:b/>
          <w:bCs/>
          <w:color w:val="2E75B6"/>
          <w:sz w:val="24"/>
          <w:szCs w:val="24"/>
        </w:rPr>
        <w:t xml:space="preserve">2.2 Prohibition on Unauthorized Use or Disclosure</w:t>
      </w:r>
    </w:p>
    <w:p>
      <w:pPr>
        <w:spacing w:after="80" w:before="80"/>
      </w:pPr>
      <w:r>
        <w:rPr>
          <w:rFonts w:ascii="Arial" w:cs="Arial" w:eastAsia="Arial" w:hAnsi="Arial"/>
          <w:sz w:val="22"/>
          <w:szCs w:val="22"/>
        </w:rPr>
        <w:t xml:space="preserve">Business Associate shall not use or disclose PHI other than as permitted or required by this Agreement or as Required By Law. Business Associate shall not use PHI in a manner that would violate the Privacy Rule if done by Covered Entity.</w:t>
      </w:r>
    </w:p>
    <w:p>
      <w:pPr>
        <w:pStyle w:val="Heading2"/>
        <w:spacing w:after="80" w:before="200"/>
      </w:pPr>
      <w:r>
        <w:rPr>
          <w:rFonts w:ascii="Arial" w:cs="Arial" w:eastAsia="Arial" w:hAnsi="Arial"/>
          <w:b/>
          <w:bCs/>
          <w:color w:val="2E75B6"/>
          <w:sz w:val="24"/>
          <w:szCs w:val="24"/>
        </w:rPr>
        <w:t xml:space="preserve">2.3 No Sale of PHI or Maryland Sensitive Data</w:t>
      </w:r>
    </w:p>
    <w:p>
      <w:pPr>
        <w:spacing w:after="80" w:before="80"/>
      </w:pPr>
      <w:r>
        <w:rPr>
          <w:rFonts w:ascii="Arial" w:cs="Arial" w:eastAsia="Arial" w:hAnsi="Arial"/>
          <w:sz w:val="22"/>
          <w:szCs w:val="22"/>
        </w:rPr>
        <w:t xml:space="preserve">Business Associate shall </w:t>
      </w:r>
      <w:r>
        <w:rPr>
          <w:rFonts w:ascii="Arial" w:cs="Arial" w:eastAsia="Arial" w:hAnsi="Arial"/>
          <w:b/>
          <w:bCs/>
          <w:sz w:val="22"/>
          <w:szCs w:val="22"/>
        </w:rPr>
        <w:t xml:space="preserve">not sell, rent, license, or otherwise transfer for valuable consideration</w:t>
      </w:r>
      <w:r>
        <w:rPr>
          <w:rFonts w:ascii="Arial" w:cs="Arial" w:eastAsia="Arial" w:hAnsi="Arial"/>
          <w:sz w:val="22"/>
          <w:szCs w:val="22"/>
        </w:rPr>
        <w:t xml:space="preserve"> any PHI or Maryland Sensitive Data obtained through the Services. This prohibition includes behavioral health records, mental health session notes, diagnostic information, and any other Maryland Sensitive Data as defined herein. This obligation survives termination of this Agreement.</w:t>
      </w:r>
    </w:p>
    <w:p>
      <w:pPr>
        <w:pStyle w:val="Heading2"/>
        <w:spacing w:after="80" w:before="200"/>
      </w:pPr>
      <w:r>
        <w:rPr>
          <w:rFonts w:ascii="Arial" w:cs="Arial" w:eastAsia="Arial" w:hAnsi="Arial"/>
          <w:b/>
          <w:bCs/>
          <w:color w:val="2E75B6"/>
          <w:sz w:val="24"/>
          <w:szCs w:val="24"/>
        </w:rPr>
        <w:t xml:space="preserve">2.4 Appropriate Safeguards</w:t>
      </w:r>
    </w:p>
    <w:p>
      <w:pPr>
        <w:spacing w:after="80" w:before="80"/>
      </w:pPr>
      <w:r>
        <w:rPr>
          <w:rFonts w:ascii="Arial" w:cs="Arial" w:eastAsia="Arial" w:hAnsi="Arial"/>
          <w:sz w:val="22"/>
          <w:szCs w:val="22"/>
        </w:rPr>
        <w:t xml:space="preserve">Business Associate shall implement and maintain appropriate administrative, physical, and technical safeguards to prevent use or disclosure of PHI other than as provided for in this Agreement, and shall comply with the Security Rule with respect to ePHI.</w:t>
      </w:r>
    </w:p>
    <w:p>
      <w:pPr>
        <w:pStyle w:val="Heading2"/>
        <w:spacing w:after="80" w:before="200"/>
      </w:pPr>
      <w:r>
        <w:rPr>
          <w:rFonts w:ascii="Arial" w:cs="Arial" w:eastAsia="Arial" w:hAnsi="Arial"/>
          <w:b/>
          <w:bCs/>
          <w:color w:val="2E75B6"/>
          <w:sz w:val="24"/>
          <w:szCs w:val="24"/>
        </w:rPr>
        <w:t xml:space="preserve">2.5 Zero-Retention Architecture and Data Minimization</w:t>
      </w:r>
    </w:p>
    <w:p>
      <w:pPr>
        <w:spacing w:after="80" w:before="80"/>
      </w:pPr>
      <w:r>
        <w:rPr>
          <w:rFonts w:ascii="Arial" w:cs="Arial" w:eastAsia="Arial" w:hAnsi="Arial"/>
          <w:sz w:val="22"/>
          <w:szCs w:val="22"/>
        </w:rPr>
        <w:t xml:space="preserve">As a data minimization measure consistent with the HIPAA minimum necessary standard (45 C.F.R. § 164.502(b)) and MODPA, the Clarity platform operates a </w:t>
      </w:r>
      <w:r>
        <w:rPr>
          <w:rFonts w:ascii="Arial" w:cs="Arial" w:eastAsia="Arial" w:hAnsi="Arial"/>
          <w:b/>
          <w:bCs/>
          <w:sz w:val="22"/>
          <w:szCs w:val="22"/>
        </w:rPr>
        <w:t xml:space="preserve">zero-retention / 30-minute Time-To-Live (“TTL”) architecture</w:t>
      </w:r>
      <w:r>
        <w:rPr>
          <w:rFonts w:ascii="Arial" w:cs="Arial" w:eastAsia="Arial" w:hAnsi="Arial"/>
          <w:sz w:val="22"/>
          <w:szCs w:val="22"/>
        </w:rPr>
        <w:t xml:space="preserve">. Specifically:</w:t>
      </w:r>
    </w:p>
    <w:p>
      <w:pPr>
        <w:spacing w:after="60" w:before="60"/>
        <w:ind w:left="720"/>
      </w:pPr>
      <w:r>
        <w:rPr>
          <w:rFonts w:ascii="Arial" w:cs="Arial" w:eastAsia="Arial" w:hAnsi="Arial"/>
          <w:b/>
          <w:bCs/>
          <w:sz w:val="22"/>
          <w:szCs w:val="22"/>
        </w:rPr>
        <w:t xml:space="preserve">(a) </w:t>
      </w:r>
      <w:r>
        <w:rPr>
          <w:rFonts w:ascii="Arial" w:cs="Arial" w:eastAsia="Arial" w:hAnsi="Arial"/>
          <w:sz w:val="22"/>
          <w:szCs w:val="22"/>
        </w:rPr>
        <w:t xml:space="preserve">All PHI submitted through the session intake form, including client identifiers, session notes, diagnoses, and AI-generated draft notes, is automatically purged from the Clarity application database within thirty (30) minutes of note generation, regardless of whether the clinician has copied or finalized the note;</w:t>
      </w:r>
    </w:p>
    <w:p>
      <w:pPr>
        <w:spacing w:after="60" w:before="60"/>
        <w:ind w:left="720"/>
      </w:pPr>
      <w:r>
        <w:rPr>
          <w:rFonts w:ascii="Arial" w:cs="Arial" w:eastAsia="Arial" w:hAnsi="Arial"/>
          <w:b/>
          <w:bCs/>
          <w:sz w:val="22"/>
          <w:szCs w:val="22"/>
        </w:rPr>
        <w:t xml:space="preserve">(b) </w:t>
      </w:r>
      <w:r>
        <w:rPr>
          <w:rFonts w:ascii="Arial" w:cs="Arial" w:eastAsia="Arial" w:hAnsi="Arial"/>
          <w:sz w:val="22"/>
          <w:szCs w:val="22"/>
        </w:rPr>
        <w:t xml:space="preserve">The scheduled purge job runs at minimum every thirty (30) minutes and nullifies all PHI input and output fields in affected records, replacing them with non-identifiable placeholder values;</w:t>
      </w:r>
    </w:p>
    <w:p>
      <w:pPr>
        <w:spacing w:after="60" w:before="60"/>
        <w:ind w:left="720"/>
      </w:pPr>
      <w:r>
        <w:rPr>
          <w:rFonts w:ascii="Arial" w:cs="Arial" w:eastAsia="Arial" w:hAnsi="Arial"/>
          <w:b/>
          <w:bCs/>
          <w:sz w:val="22"/>
          <w:szCs w:val="22"/>
        </w:rPr>
        <w:t xml:space="preserve">(c) </w:t>
      </w:r>
      <w:r>
        <w:rPr>
          <w:rFonts w:ascii="Arial" w:cs="Arial" w:eastAsia="Arial" w:hAnsi="Arial"/>
          <w:sz w:val="22"/>
          <w:szCs w:val="22"/>
        </w:rPr>
        <w:t xml:space="preserve">Covered Entity and its authorized users may initiate an on-demand purge of any note session at any time via the /api/notes/{note_id}/purge endpoint;</w:t>
      </w:r>
    </w:p>
    <w:p>
      <w:pPr>
        <w:spacing w:after="60" w:before="60"/>
        <w:ind w:left="720"/>
      </w:pPr>
      <w:r>
        <w:rPr>
          <w:rFonts w:ascii="Arial" w:cs="Arial" w:eastAsia="Arial" w:hAnsi="Arial"/>
          <w:b/>
          <w:bCs/>
          <w:sz w:val="22"/>
          <w:szCs w:val="22"/>
        </w:rPr>
        <w:t xml:space="preserve">(d) </w:t>
      </w:r>
      <w:r>
        <w:rPr>
          <w:rFonts w:ascii="Arial" w:cs="Arial" w:eastAsia="Arial" w:hAnsi="Arial"/>
          <w:sz w:val="22"/>
          <w:szCs w:val="22"/>
        </w:rPr>
        <w:t xml:space="preserve">PHI is transmitted to the AI inference layer (OpenRouter / Anthropic Claude) with data collection disabled (provider: {data_collection: “deny”}). Business Associate shall maintain this setting or a functionally equivalent setting in all API calls involving PHI; and</w:t>
      </w:r>
    </w:p>
    <w:p>
      <w:pPr>
        <w:spacing w:after="60" w:before="60"/>
        <w:ind w:left="720"/>
      </w:pPr>
      <w:r>
        <w:rPr>
          <w:rFonts w:ascii="Arial" w:cs="Arial" w:eastAsia="Arial" w:hAnsi="Arial"/>
          <w:b/>
          <w:bCs/>
          <w:sz w:val="22"/>
          <w:szCs w:val="22"/>
        </w:rPr>
        <w:t xml:space="preserve">(e) </w:t>
      </w:r>
      <w:r>
        <w:rPr>
          <w:rFonts w:ascii="Arial" w:cs="Arial" w:eastAsia="Arial" w:hAnsi="Arial"/>
          <w:sz w:val="22"/>
          <w:szCs w:val="22"/>
        </w:rPr>
        <w:t xml:space="preserve">Business Associate does not retain PHI for training, benchmarking, model fine-tuning, or product improvement purposes.</w:t>
      </w:r>
    </w:p>
    <w:p>
      <w:pPr>
        <w:pStyle w:val="Heading2"/>
        <w:spacing w:after="80" w:before="200"/>
      </w:pPr>
      <w:r>
        <w:rPr>
          <w:rFonts w:ascii="Arial" w:cs="Arial" w:eastAsia="Arial" w:hAnsi="Arial"/>
          <w:b/>
          <w:bCs/>
          <w:color w:val="2E75B6"/>
          <w:sz w:val="24"/>
          <w:szCs w:val="24"/>
        </w:rPr>
        <w:t xml:space="preserve">2.6 Reporting of Security Incidents and Breaches</w:t>
      </w:r>
    </w:p>
    <w:p>
      <w:pPr>
        <w:spacing w:after="80" w:before="80"/>
      </w:pPr>
      <w:r>
        <w:rPr>
          <w:rFonts w:ascii="Arial" w:cs="Arial" w:eastAsia="Arial" w:hAnsi="Arial"/>
          <w:sz w:val="22"/>
          <w:szCs w:val="22"/>
        </w:rPr>
        <w:t xml:space="preserve">Business Associate shall:</w:t>
      </w:r>
    </w:p>
    <w:p>
      <w:pPr>
        <w:spacing w:after="60" w:before="60"/>
        <w:ind w:left="720"/>
      </w:pPr>
      <w:r>
        <w:rPr>
          <w:rFonts w:ascii="Arial" w:cs="Arial" w:eastAsia="Arial" w:hAnsi="Arial"/>
          <w:b/>
          <w:bCs/>
          <w:sz w:val="22"/>
          <w:szCs w:val="22"/>
        </w:rPr>
        <w:t xml:space="preserve">(a) </w:t>
      </w:r>
      <w:r>
        <w:rPr>
          <w:rFonts w:ascii="Arial" w:cs="Arial" w:eastAsia="Arial" w:hAnsi="Arial"/>
          <w:sz w:val="22"/>
          <w:szCs w:val="22"/>
        </w:rPr>
        <w:t xml:space="preserve">Report to Covered Entity any use or disclosure of PHI not provided for by this Agreement of which it becomes aware, including breaches of Unsecured PHI as required by 45 C.F.R. §§ 164.410, without unreasonable delay and in no case later than sixty (60) calendar days after discovery;</w:t>
      </w:r>
    </w:p>
    <w:p>
      <w:pPr>
        <w:spacing w:after="60" w:before="60"/>
        <w:ind w:left="720"/>
      </w:pPr>
      <w:r>
        <w:rPr>
          <w:rFonts w:ascii="Arial" w:cs="Arial" w:eastAsia="Arial" w:hAnsi="Arial"/>
          <w:b/>
          <w:bCs/>
          <w:sz w:val="22"/>
          <w:szCs w:val="22"/>
        </w:rPr>
        <w:t xml:space="preserve">(b) </w:t>
      </w:r>
      <w:r>
        <w:rPr>
          <w:rFonts w:ascii="Arial" w:cs="Arial" w:eastAsia="Arial" w:hAnsi="Arial"/>
          <w:sz w:val="22"/>
          <w:szCs w:val="22"/>
        </w:rPr>
        <w:t xml:space="preserve">Report to Covered Entity any Security Incident of which it becomes aware, including successful and unsuccessful attempts to access, use, disclose, modify, or destroy ePHI. Notification of unsuccessful Security Incidents may be provided in summary form at reasonable intervals; and</w:t>
      </w:r>
    </w:p>
    <w:p>
      <w:pPr>
        <w:spacing w:after="60" w:before="60"/>
        <w:ind w:left="720"/>
      </w:pPr>
      <w:r>
        <w:rPr>
          <w:rFonts w:ascii="Arial" w:cs="Arial" w:eastAsia="Arial" w:hAnsi="Arial"/>
          <w:b/>
          <w:bCs/>
          <w:sz w:val="22"/>
          <w:szCs w:val="22"/>
        </w:rPr>
        <w:t xml:space="preserve">(c) </w:t>
      </w:r>
      <w:r>
        <w:rPr>
          <w:rFonts w:ascii="Arial" w:cs="Arial" w:eastAsia="Arial" w:hAnsi="Arial"/>
          <w:sz w:val="22"/>
          <w:szCs w:val="22"/>
        </w:rPr>
        <w:t xml:space="preserve">Identify in such reports the PHI affected, the individuals whose PHI was involved (to the extent known), a description of the incident, and the steps taken to mitigate harm and prevent recurrence.</w:t>
      </w:r>
    </w:p>
    <w:p>
      <w:pPr>
        <w:pStyle w:val="Heading2"/>
        <w:spacing w:after="80" w:before="200"/>
      </w:pPr>
      <w:r>
        <w:rPr>
          <w:rFonts w:ascii="Arial" w:cs="Arial" w:eastAsia="Arial" w:hAnsi="Arial"/>
          <w:b/>
          <w:bCs/>
          <w:color w:val="2E75B6"/>
          <w:sz w:val="24"/>
          <w:szCs w:val="24"/>
        </w:rPr>
        <w:t xml:space="preserve">2.7 Subcontractors</w:t>
      </w:r>
    </w:p>
    <w:p>
      <w:pPr>
        <w:spacing w:after="80" w:before="80"/>
      </w:pPr>
      <w:r>
        <w:rPr>
          <w:rFonts w:ascii="Arial" w:cs="Arial" w:eastAsia="Arial" w:hAnsi="Arial"/>
          <w:sz w:val="22"/>
          <w:szCs w:val="22"/>
        </w:rPr>
        <w:t xml:space="preserve">Business Associate shall ensure that any Subcontractor that creates, receives, maintains, or transmits PHI on behalf of Business Associate agrees in writing to the same restrictions, conditions, and requirements that apply to Business Associate under this Agreement, including the zero-retention architecture described in Section 2.5.</w:t>
      </w:r>
    </w:p>
    <w:p>
      <w:pPr>
        <w:pStyle w:val="Heading2"/>
        <w:spacing w:after="80" w:before="200"/>
      </w:pPr>
      <w:r>
        <w:rPr>
          <w:rFonts w:ascii="Arial" w:cs="Arial" w:eastAsia="Arial" w:hAnsi="Arial"/>
          <w:b/>
          <w:bCs/>
          <w:color w:val="2E75B6"/>
          <w:sz w:val="24"/>
          <w:szCs w:val="24"/>
        </w:rPr>
        <w:t xml:space="preserve">2.8 Access to PHI</w:t>
      </w:r>
    </w:p>
    <w:p>
      <w:pPr>
        <w:spacing w:after="80" w:before="80"/>
      </w:pPr>
      <w:r>
        <w:rPr>
          <w:rFonts w:ascii="Arial" w:cs="Arial" w:eastAsia="Arial" w:hAnsi="Arial"/>
          <w:sz w:val="22"/>
          <w:szCs w:val="22"/>
        </w:rPr>
        <w:t xml:space="preserve">To the extent Business Associate holds PHI in a Designated Record Set, Business Associate shall make such PHI available to Covered Entity, or to an Individual as directed by Covered Entity, in accordance with 45 C.F.R. § 164.524. Given the zero-retention architecture, PHI is typically accessible only within the 30-minute TTL window.</w:t>
      </w:r>
    </w:p>
    <w:p>
      <w:pPr>
        <w:pStyle w:val="Heading2"/>
        <w:spacing w:after="80" w:before="200"/>
      </w:pPr>
      <w:r>
        <w:rPr>
          <w:rFonts w:ascii="Arial" w:cs="Arial" w:eastAsia="Arial" w:hAnsi="Arial"/>
          <w:b/>
          <w:bCs/>
          <w:color w:val="2E75B6"/>
          <w:sz w:val="24"/>
          <w:szCs w:val="24"/>
        </w:rPr>
        <w:t xml:space="preserve">2.9 Amendment of PHI</w:t>
      </w:r>
    </w:p>
    <w:p>
      <w:pPr>
        <w:spacing w:after="80" w:before="80"/>
      </w:pPr>
      <w:r>
        <w:rPr>
          <w:rFonts w:ascii="Arial" w:cs="Arial" w:eastAsia="Arial" w:hAnsi="Arial"/>
          <w:sz w:val="22"/>
          <w:szCs w:val="22"/>
        </w:rPr>
        <w:t xml:space="preserve">To the extent Business Associate holds PHI in a Designated Record Set, Business Associate shall make available for amendment and incorporate any amendment(s) to PHI in accordance with 45 C.F.R. § 164.526.</w:t>
      </w:r>
    </w:p>
    <w:p>
      <w:pPr>
        <w:pStyle w:val="Heading2"/>
        <w:spacing w:after="80" w:before="200"/>
      </w:pPr>
      <w:r>
        <w:rPr>
          <w:rFonts w:ascii="Arial" w:cs="Arial" w:eastAsia="Arial" w:hAnsi="Arial"/>
          <w:b/>
          <w:bCs/>
          <w:color w:val="2E75B6"/>
          <w:sz w:val="24"/>
          <w:szCs w:val="24"/>
        </w:rPr>
        <w:t xml:space="preserve">2.10 Accounting of Disclosures</w:t>
      </w:r>
    </w:p>
    <w:p>
      <w:pPr>
        <w:spacing w:after="80" w:before="80"/>
      </w:pPr>
      <w:r>
        <w:rPr>
          <w:rFonts w:ascii="Arial" w:cs="Arial" w:eastAsia="Arial" w:hAnsi="Arial"/>
          <w:sz w:val="22"/>
          <w:szCs w:val="22"/>
        </w:rPr>
        <w:t xml:space="preserve">Business Associate shall maintain records and make available to Covered Entity the information required to provide an accounting of disclosures in accordance with 45 C.F.R. § 164.528. Due to the zero-retention architecture, non-treatment disclosures involving PHI are expected to be rare or nonexistent during normal operations.</w:t>
      </w:r>
    </w:p>
    <w:p>
      <w:pPr>
        <w:pStyle w:val="Heading2"/>
        <w:spacing w:after="80" w:before="200"/>
      </w:pPr>
      <w:r>
        <w:rPr>
          <w:rFonts w:ascii="Arial" w:cs="Arial" w:eastAsia="Arial" w:hAnsi="Arial"/>
          <w:b/>
          <w:bCs/>
          <w:color w:val="2E75B6"/>
          <w:sz w:val="24"/>
          <w:szCs w:val="24"/>
        </w:rPr>
        <w:t xml:space="preserve">2.11 Availability of Books and Records</w:t>
      </w:r>
    </w:p>
    <w:p>
      <w:pPr>
        <w:spacing w:after="80" w:before="80"/>
      </w:pPr>
      <w:r>
        <w:rPr>
          <w:rFonts w:ascii="Arial" w:cs="Arial" w:eastAsia="Arial" w:hAnsi="Arial"/>
          <w:sz w:val="22"/>
          <w:szCs w:val="22"/>
        </w:rPr>
        <w:t xml:space="preserve">Business Associate shall make its internal practices, books, and records relating to the use and disclosure of PHI available to the Secretary for purposes of determining Covered Entity’s and Business Associate’s compliance with HIPAA, in accordance with 45 C.F.R. § 164.504(e)(2)(ii)(I).</w:t>
      </w:r>
    </w:p>
    <w:p>
      <w:pPr>
        <w:pStyle w:val="Heading2"/>
        <w:spacing w:after="80" w:before="200"/>
      </w:pPr>
      <w:r>
        <w:rPr>
          <w:rFonts w:ascii="Arial" w:cs="Arial" w:eastAsia="Arial" w:hAnsi="Arial"/>
          <w:b/>
          <w:bCs/>
          <w:color w:val="2E75B6"/>
          <w:sz w:val="24"/>
          <w:szCs w:val="24"/>
        </w:rPr>
        <w:t xml:space="preserve">2.12 Minimum Necessary</w:t>
      </w:r>
    </w:p>
    <w:p>
      <w:pPr>
        <w:spacing w:after="80" w:before="80"/>
      </w:pPr>
      <w:r>
        <w:rPr>
          <w:rFonts w:ascii="Arial" w:cs="Arial" w:eastAsia="Arial" w:hAnsi="Arial"/>
          <w:sz w:val="22"/>
          <w:szCs w:val="22"/>
        </w:rPr>
        <w:t xml:space="preserve">Business Associate shall use or disclose only the minimum PHI necessary to accomplish the intended purpose of a use, disclosure, or request. The zero-retention / 30-minute TTL architecture described in Section 2.5 is implemented in part to satisfy this minimum necessary standard.</w:t>
      </w:r>
    </w:p>
    <w:p>
      <w:pPr>
        <w:pStyle w:val="Heading2"/>
        <w:spacing w:after="80" w:before="200"/>
      </w:pPr>
      <w:r>
        <w:rPr>
          <w:rFonts w:ascii="Arial" w:cs="Arial" w:eastAsia="Arial" w:hAnsi="Arial"/>
          <w:b/>
          <w:bCs/>
          <w:color w:val="2E75B6"/>
          <w:sz w:val="24"/>
          <w:szCs w:val="24"/>
        </w:rPr>
        <w:t xml:space="preserve">2.13 HITECH and State Law Compliance</w:t>
      </w:r>
    </w:p>
    <w:p>
      <w:pPr>
        <w:spacing w:after="80" w:before="80"/>
      </w:pPr>
      <w:r>
        <w:rPr>
          <w:rFonts w:ascii="Arial" w:cs="Arial" w:eastAsia="Arial" w:hAnsi="Arial"/>
          <w:sz w:val="22"/>
          <w:szCs w:val="22"/>
        </w:rPr>
        <w:t xml:space="preserve">Business Associate shall comply with the HITECH Act’s provisions directly applicable to Business Associates, including 42 U.S.C. §§ 17931–17954, the Breach Notification Rule (45 C.F.R. Part 164, Subpart D), and the Security Rule. Business Associate shall also comply with applicable Maryland law, including MODPA, with respect to Maryland Sensitive Data.</w:t>
      </w:r>
    </w:p>
    <w:p>
      <w:pPr>
        <w:pStyle w:val="Heading1"/>
        <w:spacing w:after="120" w:before="320"/>
      </w:pPr>
      <w:r>
        <w:rPr>
          <w:rFonts w:ascii="Arial" w:cs="Arial" w:eastAsia="Arial" w:hAnsi="Arial"/>
          <w:b/>
          <w:bCs/>
          <w:color w:val="1F3864"/>
          <w:sz w:val="28"/>
          <w:szCs w:val="28"/>
        </w:rPr>
        <w:t xml:space="preserve">ARTICLE III — OBLIGATIONS OF COVERED ENTITY</w:t>
      </w:r>
    </w:p>
    <w:p>
      <w:pPr>
        <w:spacing w:after="80" w:before="80"/>
      </w:pPr>
      <w:r>
        <w:rPr>
          <w:rFonts w:ascii="Arial" w:cs="Arial" w:eastAsia="Arial" w:hAnsi="Arial"/>
          <w:sz w:val="22"/>
          <w:szCs w:val="22"/>
        </w:rPr>
        <w:t xml:space="preserve">Covered Entity agrees to:</w:t>
      </w:r>
    </w:p>
    <w:p>
      <w:pPr>
        <w:spacing w:after="60" w:before="60"/>
        <w:ind w:left="720"/>
      </w:pPr>
      <w:r>
        <w:rPr>
          <w:rFonts w:ascii="Arial" w:cs="Arial" w:eastAsia="Arial" w:hAnsi="Arial"/>
          <w:b/>
          <w:bCs/>
          <w:sz w:val="22"/>
          <w:szCs w:val="22"/>
        </w:rPr>
        <w:t xml:space="preserve">(a) </w:t>
      </w:r>
      <w:r>
        <w:rPr>
          <w:rFonts w:ascii="Arial" w:cs="Arial" w:eastAsia="Arial" w:hAnsi="Arial"/>
          <w:sz w:val="22"/>
          <w:szCs w:val="22"/>
        </w:rPr>
        <w:t xml:space="preserve">Notify Business Associate of any restriction on the use or disclosure of PHI that Covered Entity has agreed to or is required to abide by pursuant to 45 C.F.R. § 164.522, to the extent such restriction may affect Business Associate’s use or disclosure of PHI;</w:t>
      </w:r>
    </w:p>
    <w:p>
      <w:pPr>
        <w:spacing w:after="60" w:before="60"/>
        <w:ind w:left="720"/>
      </w:pPr>
      <w:r>
        <w:rPr>
          <w:rFonts w:ascii="Arial" w:cs="Arial" w:eastAsia="Arial" w:hAnsi="Arial"/>
          <w:b/>
          <w:bCs/>
          <w:sz w:val="22"/>
          <w:szCs w:val="22"/>
        </w:rPr>
        <w:t xml:space="preserve">(b) </w:t>
      </w:r>
      <w:r>
        <w:rPr>
          <w:rFonts w:ascii="Arial" w:cs="Arial" w:eastAsia="Arial" w:hAnsi="Arial"/>
          <w:sz w:val="22"/>
          <w:szCs w:val="22"/>
        </w:rPr>
        <w:t xml:space="preserve">Not request Business Associate to use or disclose PHI in any manner that would not be permissible under the HIPAA Rules if done by Covered Entity;</w:t>
      </w:r>
    </w:p>
    <w:p>
      <w:pPr>
        <w:spacing w:after="60" w:before="60"/>
        <w:ind w:left="720"/>
      </w:pPr>
      <w:r>
        <w:rPr>
          <w:rFonts w:ascii="Arial" w:cs="Arial" w:eastAsia="Arial" w:hAnsi="Arial"/>
          <w:b/>
          <w:bCs/>
          <w:sz w:val="22"/>
          <w:szCs w:val="22"/>
        </w:rPr>
        <w:t xml:space="preserve">(c) </w:t>
      </w:r>
      <w:r>
        <w:rPr>
          <w:rFonts w:ascii="Arial" w:cs="Arial" w:eastAsia="Arial" w:hAnsi="Arial"/>
          <w:sz w:val="22"/>
          <w:szCs w:val="22"/>
        </w:rPr>
        <w:t xml:space="preserve">Provide Business Associate with its Notice of Privacy Practices to the extent that such Notice may affect Business Associate’s use or disclosure of PHI;</w:t>
      </w:r>
    </w:p>
    <w:p>
      <w:pPr>
        <w:spacing w:after="60" w:before="60"/>
        <w:ind w:left="720"/>
      </w:pPr>
      <w:r>
        <w:rPr>
          <w:rFonts w:ascii="Arial" w:cs="Arial" w:eastAsia="Arial" w:hAnsi="Arial"/>
          <w:b/>
          <w:bCs/>
          <w:sz w:val="22"/>
          <w:szCs w:val="22"/>
        </w:rPr>
        <w:t xml:space="preserve">(d) </w:t>
      </w:r>
      <w:r>
        <w:rPr>
          <w:rFonts w:ascii="Arial" w:cs="Arial" w:eastAsia="Arial" w:hAnsi="Arial"/>
          <w:sz w:val="22"/>
          <w:szCs w:val="22"/>
        </w:rPr>
        <w:t xml:space="preserve">Obtain any authorizations or consents from Individuals that may be required to permit Business Associate to perform the Services; and</w:t>
      </w:r>
    </w:p>
    <w:p>
      <w:pPr>
        <w:spacing w:after="60" w:before="60"/>
        <w:ind w:left="720"/>
      </w:pPr>
      <w:r>
        <w:rPr>
          <w:rFonts w:ascii="Arial" w:cs="Arial" w:eastAsia="Arial" w:hAnsi="Arial"/>
          <w:b/>
          <w:bCs/>
          <w:sz w:val="22"/>
          <w:szCs w:val="22"/>
        </w:rPr>
        <w:t xml:space="preserve">(e) </w:t>
      </w:r>
      <w:r>
        <w:rPr>
          <w:rFonts w:ascii="Arial" w:cs="Arial" w:eastAsia="Arial" w:hAnsi="Arial"/>
          <w:sz w:val="22"/>
          <w:szCs w:val="22"/>
        </w:rPr>
        <w:t xml:space="preserve">Promptly notify Business Associate of any changes to or revocation of any authorization or restriction that may affect Business Associate’s use or disclosure of PHI.</w:t>
      </w:r>
    </w:p>
    <w:p>
      <w:pPr>
        <w:pStyle w:val="Heading1"/>
        <w:spacing w:after="120" w:before="320"/>
      </w:pPr>
      <w:r>
        <w:rPr>
          <w:rFonts w:ascii="Arial" w:cs="Arial" w:eastAsia="Arial" w:hAnsi="Arial"/>
          <w:b/>
          <w:bCs/>
          <w:color w:val="1F3864"/>
          <w:sz w:val="28"/>
          <w:szCs w:val="28"/>
        </w:rPr>
        <w:t xml:space="preserve">ARTICLE IV — TERM AND TERMINATION</w:t>
      </w:r>
    </w:p>
    <w:p>
      <w:pPr>
        <w:pStyle w:val="Heading2"/>
        <w:spacing w:after="80" w:before="200"/>
      </w:pPr>
      <w:r>
        <w:rPr>
          <w:rFonts w:ascii="Arial" w:cs="Arial" w:eastAsia="Arial" w:hAnsi="Arial"/>
          <w:b/>
          <w:bCs/>
          <w:color w:val="2E75B6"/>
          <w:sz w:val="24"/>
          <w:szCs w:val="24"/>
        </w:rPr>
        <w:t xml:space="preserve">4.1 Term</w:t>
      </w:r>
    </w:p>
    <w:p>
      <w:pPr>
        <w:spacing w:after="80" w:before="80"/>
      </w:pPr>
      <w:r>
        <w:rPr>
          <w:rFonts w:ascii="Arial" w:cs="Arial" w:eastAsia="Arial" w:hAnsi="Arial"/>
          <w:sz w:val="22"/>
          <w:szCs w:val="22"/>
        </w:rPr>
        <w:t xml:space="preserve">This Agreement shall be effective as of the Effective Date and shall remain in effect until terminated as provided herein, or until all obligations have been met and no PHI is retained by Business Associate, whichever is earlier.</w:t>
      </w:r>
    </w:p>
    <w:p>
      <w:pPr>
        <w:pStyle w:val="Heading2"/>
        <w:spacing w:after="80" w:before="200"/>
      </w:pPr>
      <w:r>
        <w:rPr>
          <w:rFonts w:ascii="Arial" w:cs="Arial" w:eastAsia="Arial" w:hAnsi="Arial"/>
          <w:b/>
          <w:bCs/>
          <w:color w:val="2E75B6"/>
          <w:sz w:val="24"/>
          <w:szCs w:val="24"/>
        </w:rPr>
        <w:t xml:space="preserve">4.2 Termination for Cause</w:t>
      </w:r>
    </w:p>
    <w:p>
      <w:pPr>
        <w:spacing w:after="80" w:before="80"/>
      </w:pPr>
      <w:r>
        <w:rPr>
          <w:rFonts w:ascii="Arial" w:cs="Arial" w:eastAsia="Arial" w:hAnsi="Arial"/>
          <w:sz w:val="22"/>
          <w:szCs w:val="22"/>
        </w:rPr>
        <w:t xml:space="preserve">Either party may terminate this Agreement upon written notice if the other party commits a material breach of any provision of this Agreement that remains uncured for thirty (30) days following written notice of such breach. Covered Entity may terminate this Agreement immediately upon learning of a pattern of activity or practice of Business Associate that constitutes a material breach of Business Associate’s obligations under this Agreement.</w:t>
      </w:r>
    </w:p>
    <w:p>
      <w:pPr>
        <w:pStyle w:val="Heading2"/>
        <w:spacing w:after="80" w:before="200"/>
      </w:pPr>
      <w:r>
        <w:rPr>
          <w:rFonts w:ascii="Arial" w:cs="Arial" w:eastAsia="Arial" w:hAnsi="Arial"/>
          <w:b/>
          <w:bCs/>
          <w:color w:val="2E75B6"/>
          <w:sz w:val="24"/>
          <w:szCs w:val="24"/>
        </w:rPr>
        <w:t xml:space="preserve">4.3 Effect of Termination; Return or Destruction of PHI</w:t>
      </w:r>
    </w:p>
    <w:p>
      <w:pPr>
        <w:spacing w:after="80" w:before="80"/>
      </w:pPr>
      <w:r>
        <w:rPr>
          <w:rFonts w:ascii="Arial" w:cs="Arial" w:eastAsia="Arial" w:hAnsi="Arial"/>
          <w:sz w:val="22"/>
          <w:szCs w:val="22"/>
        </w:rPr>
        <w:t xml:space="preserve">Upon termination of this Agreement for any reason, Business Associate shall:</w:t>
      </w:r>
    </w:p>
    <w:p>
      <w:pPr>
        <w:spacing w:after="60" w:before="60"/>
        <w:ind w:left="720"/>
      </w:pPr>
      <w:r>
        <w:rPr>
          <w:rFonts w:ascii="Arial" w:cs="Arial" w:eastAsia="Arial" w:hAnsi="Arial"/>
          <w:b/>
          <w:bCs/>
          <w:sz w:val="22"/>
          <w:szCs w:val="22"/>
        </w:rPr>
        <w:t xml:space="preserve">(a) </w:t>
      </w:r>
      <w:r>
        <w:rPr>
          <w:rFonts w:ascii="Arial" w:cs="Arial" w:eastAsia="Arial" w:hAnsi="Arial"/>
          <w:sz w:val="22"/>
          <w:szCs w:val="22"/>
        </w:rPr>
        <w:t xml:space="preserve">Return or destroy all PHI received from Covered Entity or created, maintained, or transmitted on behalf of Covered Entity, in a manner consistent with NIST SP 800-88 Guidelines for Media Sanitization, if feasible. Given the zero-retention architecture, the volume of retained PHI at any point in time is expected to be minimal; and</w:t>
      </w:r>
    </w:p>
    <w:p>
      <w:pPr>
        <w:spacing w:after="60" w:before="60"/>
        <w:ind w:left="720"/>
      </w:pPr>
      <w:r>
        <w:rPr>
          <w:rFonts w:ascii="Arial" w:cs="Arial" w:eastAsia="Arial" w:hAnsi="Arial"/>
          <w:b/>
          <w:bCs/>
          <w:sz w:val="22"/>
          <w:szCs w:val="22"/>
        </w:rPr>
        <w:t xml:space="preserve">(b) </w:t>
      </w:r>
      <w:r>
        <w:rPr>
          <w:rFonts w:ascii="Arial" w:cs="Arial" w:eastAsia="Arial" w:hAnsi="Arial"/>
          <w:sz w:val="22"/>
          <w:szCs w:val="22"/>
        </w:rPr>
        <w:t xml:space="preserve">If return or destruction is not feasible, extend the protections of this Agreement to such PHI and limit further uses and disclosures to those purposes that make the return or destruction infeasible. Notwithstanding the foregoing, obligations of Business Associate under this Section 4.3 shall survive termination.</w:t>
      </w:r>
    </w:p>
    <w:p>
      <w:pPr>
        <w:pStyle w:val="Heading1"/>
        <w:spacing w:after="120" w:before="320"/>
      </w:pPr>
      <w:r>
        <w:rPr>
          <w:rFonts w:ascii="Arial" w:cs="Arial" w:eastAsia="Arial" w:hAnsi="Arial"/>
          <w:b/>
          <w:bCs/>
          <w:color w:val="1F3864"/>
          <w:sz w:val="28"/>
          <w:szCs w:val="28"/>
        </w:rPr>
        <w:t xml:space="preserve">ARTICLE V — GENERAL PROVISIONS</w:t>
      </w:r>
    </w:p>
    <w:p>
      <w:pPr>
        <w:pStyle w:val="Heading2"/>
        <w:spacing w:after="80" w:before="200"/>
      </w:pPr>
      <w:r>
        <w:rPr>
          <w:rFonts w:ascii="Arial" w:cs="Arial" w:eastAsia="Arial" w:hAnsi="Arial"/>
          <w:b/>
          <w:bCs/>
          <w:color w:val="2E75B6"/>
          <w:sz w:val="24"/>
          <w:szCs w:val="24"/>
        </w:rPr>
        <w:t xml:space="preserve">5.1 Amendment</w:t>
      </w:r>
    </w:p>
    <w:p>
      <w:pPr>
        <w:spacing w:after="80" w:before="80"/>
      </w:pPr>
      <w:r>
        <w:rPr>
          <w:rFonts w:ascii="Arial" w:cs="Arial" w:eastAsia="Arial" w:hAnsi="Arial"/>
          <w:sz w:val="22"/>
          <w:szCs w:val="22"/>
        </w:rPr>
        <w:t xml:space="preserve">The parties agree to amend this Agreement to the extent necessary to comply with changes in applicable law, including regulatory guidance or amendments to the HIPAA Rules. Business Associate may amend this Agreement by providing thirty (30) days written notice of such amendment. If Covered Entity does not object within such period, the amendment shall be deemed accepted.</w:t>
      </w:r>
    </w:p>
    <w:p>
      <w:pPr>
        <w:pStyle w:val="Heading2"/>
        <w:spacing w:after="80" w:before="200"/>
      </w:pPr>
      <w:r>
        <w:rPr>
          <w:rFonts w:ascii="Arial" w:cs="Arial" w:eastAsia="Arial" w:hAnsi="Arial"/>
          <w:b/>
          <w:bCs/>
          <w:color w:val="2E75B6"/>
          <w:sz w:val="24"/>
          <w:szCs w:val="24"/>
        </w:rPr>
        <w:t xml:space="preserve">5.2 Interpretation</w:t>
      </w:r>
    </w:p>
    <w:p>
      <w:pPr>
        <w:spacing w:after="80" w:before="80"/>
      </w:pPr>
      <w:r>
        <w:rPr>
          <w:rFonts w:ascii="Arial" w:cs="Arial" w:eastAsia="Arial" w:hAnsi="Arial"/>
          <w:sz w:val="22"/>
          <w:szCs w:val="22"/>
        </w:rPr>
        <w:t xml:space="preserve">The parties agree that this Agreement shall be interpreted to facilitate Covered Entity’s compliance with HIPAA. Any ambiguity shall be resolved in favor of a meaning that permits Covered Entity to comply with HIPAA.</w:t>
      </w:r>
    </w:p>
    <w:p>
      <w:pPr>
        <w:pStyle w:val="Heading2"/>
        <w:spacing w:after="80" w:before="200"/>
      </w:pPr>
      <w:r>
        <w:rPr>
          <w:rFonts w:ascii="Arial" w:cs="Arial" w:eastAsia="Arial" w:hAnsi="Arial"/>
          <w:b/>
          <w:bCs/>
          <w:color w:val="2E75B6"/>
          <w:sz w:val="24"/>
          <w:szCs w:val="24"/>
        </w:rPr>
        <w:t xml:space="preserve">5.3 Regulatory References</w:t>
      </w:r>
    </w:p>
    <w:p>
      <w:pPr>
        <w:spacing w:after="80" w:before="80"/>
      </w:pPr>
      <w:r>
        <w:rPr>
          <w:rFonts w:ascii="Arial" w:cs="Arial" w:eastAsia="Arial" w:hAnsi="Arial"/>
          <w:sz w:val="22"/>
          <w:szCs w:val="22"/>
        </w:rPr>
        <w:t xml:space="preserve">Any reference in this Agreement to a statute or regulation shall be deemed to include any amendment thereto or successor provision.</w:t>
      </w:r>
    </w:p>
    <w:p>
      <w:pPr>
        <w:pStyle w:val="Heading2"/>
        <w:spacing w:after="80" w:before="200"/>
      </w:pPr>
      <w:r>
        <w:rPr>
          <w:rFonts w:ascii="Arial" w:cs="Arial" w:eastAsia="Arial" w:hAnsi="Arial"/>
          <w:b/>
          <w:bCs/>
          <w:color w:val="2E75B6"/>
          <w:sz w:val="24"/>
          <w:szCs w:val="24"/>
        </w:rPr>
        <w:t xml:space="preserve">5.4 No Third-Party Beneficiaries</w:t>
      </w:r>
    </w:p>
    <w:p>
      <w:pPr>
        <w:spacing w:after="80" w:before="80"/>
      </w:pPr>
      <w:r>
        <w:rPr>
          <w:rFonts w:ascii="Arial" w:cs="Arial" w:eastAsia="Arial" w:hAnsi="Arial"/>
          <w:sz w:val="22"/>
          <w:szCs w:val="22"/>
        </w:rPr>
        <w:t xml:space="preserve">Nothing in this Agreement shall confer any rights or remedies upon any person other than the parties and their respective successors and assigns. Individuals whose PHI is the subject of this Agreement are not third-party beneficiaries.</w:t>
      </w:r>
    </w:p>
    <w:p>
      <w:pPr>
        <w:pStyle w:val="Heading2"/>
        <w:spacing w:after="80" w:before="200"/>
      </w:pPr>
      <w:r>
        <w:rPr>
          <w:rFonts w:ascii="Arial" w:cs="Arial" w:eastAsia="Arial" w:hAnsi="Arial"/>
          <w:b/>
          <w:bCs/>
          <w:color w:val="2E75B6"/>
          <w:sz w:val="24"/>
          <w:szCs w:val="24"/>
        </w:rPr>
        <w:t xml:space="preserve">5.5 Survival</w:t>
      </w:r>
    </w:p>
    <w:p>
      <w:pPr>
        <w:spacing w:after="80" w:before="80"/>
      </w:pPr>
      <w:r>
        <w:rPr>
          <w:rFonts w:ascii="Arial" w:cs="Arial" w:eastAsia="Arial" w:hAnsi="Arial"/>
          <w:sz w:val="22"/>
          <w:szCs w:val="22"/>
        </w:rPr>
        <w:t xml:space="preserve">The obligations of Business Associate under Sections 2.3 (No Sale), 2.5 (Zero-Retention Architecture), 2.6 (Breach Reporting), 2.10 (Accounting of Disclosures), 4.3 (Return or Destruction), and this Section 5.5 shall survive the termination or expiration of this Agreement.</w:t>
      </w:r>
    </w:p>
    <w:p>
      <w:pPr>
        <w:pStyle w:val="Heading2"/>
        <w:spacing w:after="80" w:before="200"/>
      </w:pPr>
      <w:r>
        <w:rPr>
          <w:rFonts w:ascii="Arial" w:cs="Arial" w:eastAsia="Arial" w:hAnsi="Arial"/>
          <w:b/>
          <w:bCs/>
          <w:color w:val="2E75B6"/>
          <w:sz w:val="24"/>
          <w:szCs w:val="24"/>
        </w:rPr>
        <w:t xml:space="preserve">5.6 Governing Law</w:t>
      </w:r>
    </w:p>
    <w:p>
      <w:pPr>
        <w:spacing w:after="80" w:before="80"/>
      </w:pPr>
      <w:r>
        <w:rPr>
          <w:rFonts w:ascii="Arial" w:cs="Arial" w:eastAsia="Arial" w:hAnsi="Arial"/>
          <w:sz w:val="22"/>
          <w:szCs w:val="22"/>
        </w:rPr>
        <w:t xml:space="preserve">This Agreement shall be governed by and construed in accordance with the laws of the State of Maryland, without regard to its conflict-of-laws principles, to the extent not preempted by federal law.</w:t>
      </w:r>
    </w:p>
    <w:p>
      <w:pPr>
        <w:pStyle w:val="Heading2"/>
        <w:spacing w:after="80" w:before="200"/>
      </w:pPr>
      <w:r>
        <w:rPr>
          <w:rFonts w:ascii="Arial" w:cs="Arial" w:eastAsia="Arial" w:hAnsi="Arial"/>
          <w:b/>
          <w:bCs/>
          <w:color w:val="2E75B6"/>
          <w:sz w:val="24"/>
          <w:szCs w:val="24"/>
        </w:rPr>
        <w:t xml:space="preserve">5.7 Entire Agreement</w:t>
      </w:r>
    </w:p>
    <w:p>
      <w:pPr>
        <w:spacing w:after="80" w:before="80"/>
      </w:pPr>
      <w:r>
        <w:rPr>
          <w:rFonts w:ascii="Arial" w:cs="Arial" w:eastAsia="Arial" w:hAnsi="Arial"/>
          <w:sz w:val="22"/>
          <w:szCs w:val="22"/>
        </w:rPr>
        <w:t xml:space="preserve">This Agreement, together with any applicable service agreement or subscription terms between the parties, constitutes the entire agreement between the parties with respect to the subject matter hereof and supersedes all prior negotiations, representations, and agreements relating thereto.</w:t>
      </w:r>
    </w:p>
    <w:p>
      <w:pPr>
        <w:pStyle w:val="Heading2"/>
        <w:spacing w:after="80" w:before="200"/>
      </w:pPr>
      <w:r>
        <w:rPr>
          <w:rFonts w:ascii="Arial" w:cs="Arial" w:eastAsia="Arial" w:hAnsi="Arial"/>
          <w:b/>
          <w:bCs/>
          <w:color w:val="2E75B6"/>
          <w:sz w:val="24"/>
          <w:szCs w:val="24"/>
        </w:rPr>
        <w:t xml:space="preserve">5.8 Severability</w:t>
      </w:r>
    </w:p>
    <w:p>
      <w:pPr>
        <w:spacing w:after="80" w:before="80"/>
      </w:pPr>
      <w:r>
        <w:rPr>
          <w:rFonts w:ascii="Arial" w:cs="Arial" w:eastAsia="Arial" w:hAnsi="Arial"/>
          <w:sz w:val="22"/>
          <w:szCs w:val="22"/>
        </w:rPr>
        <w:t xml:space="preserve">If any provision of this Agreement is held to be invalid or unenforceable, the remaining provisions shall continue in full force and effect.</w:t>
      </w:r>
    </w:p>
    <w:p>
      <w:pPr>
        <w:pStyle w:val="Heading2"/>
        <w:spacing w:after="80" w:before="200"/>
      </w:pPr>
      <w:r>
        <w:rPr>
          <w:rFonts w:ascii="Arial" w:cs="Arial" w:eastAsia="Arial" w:hAnsi="Arial"/>
          <w:b/>
          <w:bCs/>
          <w:color w:val="2E75B6"/>
          <w:sz w:val="24"/>
          <w:szCs w:val="24"/>
        </w:rPr>
        <w:t xml:space="preserve">5.9 Notices</w:t>
      </w:r>
    </w:p>
    <w:p>
      <w:pPr>
        <w:spacing w:after="80" w:before="80"/>
      </w:pPr>
      <w:r>
        <w:rPr>
          <w:rFonts w:ascii="Arial" w:cs="Arial" w:eastAsia="Arial" w:hAnsi="Arial"/>
          <w:sz w:val="22"/>
          <w:szCs w:val="22"/>
        </w:rPr>
        <w:t xml:space="preserve">Notices required or permitted under this Agreement shall be in writing and delivered by (a) certified mail, return receipt requested, (b) nationally recognized overnight courier, or (c) email with confirmation of receipt, to:</w:t>
      </w:r>
    </w:p>
    <w:p>
      <w:pPr>
        <w:spacing w:after="60" w:before="60"/>
      </w:pPr>
    </w:p>
    <w:p>
      <w:pPr>
        <w:spacing w:after="40" w:before="60"/>
        <w:ind w:left="720"/>
      </w:pPr>
      <w:r>
        <w:rPr>
          <w:rFonts w:ascii="Arial" w:cs="Arial" w:eastAsia="Arial" w:hAnsi="Arial"/>
          <w:b/>
          <w:bCs/>
          <w:sz w:val="22"/>
          <w:szCs w:val="22"/>
        </w:rPr>
        <w:t xml:space="preserve">Business Associate: </w:t>
      </w:r>
      <w:r>
        <w:rPr>
          <w:rFonts w:ascii="Arial" w:cs="Arial" w:eastAsia="Arial" w:hAnsi="Arial"/>
          <w:sz w:val="22"/>
          <w:szCs w:val="22"/>
        </w:rPr>
        <w:t xml:space="preserve">Bearing Digital LLC, Attn: Privacy Officer, hello@bearingdigital.com</w:t>
      </w:r>
    </w:p>
    <w:p>
      <w:pPr>
        <w:spacing w:after="80" w:before="60"/>
        <w:ind w:left="720"/>
      </w:pPr>
      <w:r>
        <w:rPr>
          <w:rFonts w:ascii="Arial" w:cs="Arial" w:eastAsia="Arial" w:hAnsi="Arial"/>
          <w:b/>
          <w:bCs/>
          <w:sz w:val="22"/>
          <w:szCs w:val="22"/>
        </w:rPr>
        <w:t xml:space="preserve">Covered Entity: </w:t>
      </w:r>
      <w:r>
        <w:rPr>
          <w:rFonts w:ascii="Arial" w:cs="Arial" w:eastAsia="Arial" w:hAnsi="Arial"/>
          <w:sz w:val="22"/>
          <w:szCs w:val="22"/>
        </w:rPr>
        <w:t xml:space="preserve">As specified in the signature block below.</w:t>
      </w:r>
    </w:p>
    <w:p>
      <w:pPr>
        <w:pStyle w:val="Heading2"/>
        <w:spacing w:after="80" w:before="200"/>
      </w:pPr>
      <w:r>
        <w:rPr>
          <w:rFonts w:ascii="Arial" w:cs="Arial" w:eastAsia="Arial" w:hAnsi="Arial"/>
          <w:b/>
          <w:bCs/>
          <w:color w:val="2E75B6"/>
          <w:sz w:val="24"/>
          <w:szCs w:val="24"/>
        </w:rPr>
        <w:t xml:space="preserve">5.10 Counterparts; Electronic Signature</w:t>
      </w:r>
    </w:p>
    <w:p>
      <w:pPr>
        <w:spacing w:after="80" w:before="80"/>
      </w:pPr>
      <w:r>
        <w:rPr>
          <w:rFonts w:ascii="Arial" w:cs="Arial" w:eastAsia="Arial" w:hAnsi="Arial"/>
          <w:sz w:val="22"/>
          <w:szCs w:val="22"/>
        </w:rPr>
        <w:t xml:space="preserve">This Agreement may be executed in counterparts, each of which shall be deemed an original, and all of which together shall constitute one and the same instrument. Electronic signatures shall be deemed valid and binding.</w:t>
      </w:r>
    </w:p>
    <w:p>
      <w:pPr>
        <w:pStyle w:val="Heading2"/>
        <w:spacing w:after="80" w:before="200"/>
      </w:pPr>
      <w:r>
        <w:rPr>
          <w:rFonts w:ascii="Arial" w:cs="Arial" w:eastAsia="Arial" w:hAnsi="Arial"/>
          <w:b/>
          <w:bCs/>
          <w:color w:val="2E75B6"/>
          <w:sz w:val="24"/>
          <w:szCs w:val="24"/>
        </w:rPr>
        <w:t xml:space="preserve">5.11 MODPA — Additional Maryland Obligations</w:t>
      </w:r>
    </w:p>
    <w:p>
      <w:pPr>
        <w:spacing w:after="80" w:before="80"/>
      </w:pPr>
      <w:r>
        <w:rPr>
          <w:rFonts w:ascii="Arial" w:cs="Arial" w:eastAsia="Arial" w:hAnsi="Arial"/>
          <w:sz w:val="22"/>
          <w:szCs w:val="22"/>
        </w:rPr>
        <w:t xml:space="preserve">With respect to Maryland Sensitive Data (as defined in Section 1.7), Business Associate agrees to:</w:t>
      </w:r>
    </w:p>
    <w:p>
      <w:pPr>
        <w:spacing w:after="60" w:before="60"/>
        <w:ind w:left="720"/>
      </w:pPr>
      <w:r>
        <w:rPr>
          <w:rFonts w:ascii="Arial" w:cs="Arial" w:eastAsia="Arial" w:hAnsi="Arial"/>
          <w:b/>
          <w:bCs/>
          <w:sz w:val="22"/>
          <w:szCs w:val="22"/>
        </w:rPr>
        <w:t xml:space="preserve">(a) </w:t>
      </w:r>
      <w:r>
        <w:rPr>
          <w:rFonts w:ascii="Arial" w:cs="Arial" w:eastAsia="Arial" w:hAnsi="Arial"/>
          <w:sz w:val="22"/>
          <w:szCs w:val="22"/>
        </w:rPr>
        <w:t xml:space="preserve">Collect and process Maryland Sensitive Data only to the minimum extent necessary to provide the Services;</w:t>
      </w:r>
    </w:p>
    <w:p>
      <w:pPr>
        <w:spacing w:after="60" w:before="60"/>
        <w:ind w:left="720"/>
      </w:pPr>
      <w:r>
        <w:rPr>
          <w:rFonts w:ascii="Arial" w:cs="Arial" w:eastAsia="Arial" w:hAnsi="Arial"/>
          <w:b/>
          <w:bCs/>
          <w:sz w:val="22"/>
          <w:szCs w:val="22"/>
        </w:rPr>
        <w:t xml:space="preserve">(b) </w:t>
      </w:r>
      <w:r>
        <w:rPr>
          <w:rFonts w:ascii="Arial" w:cs="Arial" w:eastAsia="Arial" w:hAnsi="Arial"/>
          <w:sz w:val="22"/>
          <w:szCs w:val="22"/>
        </w:rPr>
        <w:t xml:space="preserve">Not process Maryland Sensitive Data for targeted advertising, sale, or any purpose unrelated to the Services;</w:t>
      </w:r>
    </w:p>
    <w:p>
      <w:pPr>
        <w:spacing w:after="60" w:before="60"/>
        <w:ind w:left="720"/>
      </w:pPr>
      <w:r>
        <w:rPr>
          <w:rFonts w:ascii="Arial" w:cs="Arial" w:eastAsia="Arial" w:hAnsi="Arial"/>
          <w:b/>
          <w:bCs/>
          <w:sz w:val="22"/>
          <w:szCs w:val="22"/>
        </w:rPr>
        <w:t xml:space="preserve">(c) </w:t>
      </w:r>
      <w:r>
        <w:rPr>
          <w:rFonts w:ascii="Arial" w:cs="Arial" w:eastAsia="Arial" w:hAnsi="Arial"/>
          <w:sz w:val="22"/>
          <w:szCs w:val="22"/>
        </w:rPr>
        <w:t xml:space="preserve">Not retain Maryland Sensitive Data beyond the period necessary to provide the Services. The zero-retention / 30-minute TTL architecture described in Section 2.5 is the primary mechanism implementing this obligation; and</w:t>
      </w:r>
    </w:p>
    <w:p>
      <w:pPr>
        <w:spacing w:after="60" w:before="60"/>
        <w:ind w:left="720"/>
      </w:pPr>
      <w:r>
        <w:rPr>
          <w:rFonts w:ascii="Arial" w:cs="Arial" w:eastAsia="Arial" w:hAnsi="Arial"/>
          <w:b/>
          <w:bCs/>
          <w:sz w:val="22"/>
          <w:szCs w:val="22"/>
        </w:rPr>
        <w:t xml:space="preserve">(d) </w:t>
      </w:r>
      <w:r>
        <w:rPr>
          <w:rFonts w:ascii="Arial" w:cs="Arial" w:eastAsia="Arial" w:hAnsi="Arial"/>
          <w:sz w:val="22"/>
          <w:szCs w:val="22"/>
        </w:rPr>
        <w:t xml:space="preserve">Implement and maintain reasonable administrative, technical, and physical data security practices to protect the confidentiality, integrity, and accessibility of Maryland Sensitive Data.</w:t>
      </w:r>
    </w:p>
    <w:p>
      <w:pPr>
        <w:pageBreakBefore/>
      </w:pPr>
      <w:r/>
    </w:p>
    <w:p>
      <w:pPr>
        <w:pStyle w:val="Heading1"/>
        <w:spacing w:after="200" w:before="200"/>
        <w:jc w:val="center"/>
      </w:pPr>
      <w:r>
        <w:rPr>
          <w:rFonts w:ascii="Arial" w:cs="Arial" w:eastAsia="Arial" w:hAnsi="Arial"/>
          <w:b/>
          <w:bCs/>
          <w:color w:val="1F3864"/>
          <w:sz w:val="28"/>
          <w:szCs w:val="28"/>
        </w:rPr>
        <w:t xml:space="preserve">SIGNATURE PAGE</w:t>
      </w:r>
    </w:p>
    <w:p>
      <w:pPr>
        <w:spacing w:after="80" w:before="80"/>
      </w:pPr>
      <w:r>
        <w:rPr>
          <w:rFonts w:ascii="Arial" w:cs="Arial" w:eastAsia="Arial" w:hAnsi="Arial"/>
          <w:sz w:val="22"/>
          <w:szCs w:val="22"/>
        </w:rPr>
        <w:t xml:space="preserve">IN WITNESS WHEREOF, the parties have executed this Business Associate Agreement as of the Effective Date first written below.</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80" w:before="200"/>
            </w:pPr>
            <w:r>
              <w:rPr>
                <w:rFonts w:ascii="Arial" w:cs="Arial" w:eastAsia="Arial" w:hAnsi="Arial"/>
                <w:b/>
                <w:bCs/>
                <w:sz w:val="22"/>
                <w:szCs w:val="22"/>
              </w:rPr>
            </w:r>
          </w:p>
          <w:p>
            <w:pPr>
              <w:spacing w:after="40" w:before="80"/>
            </w:pPr>
            <w:r>
              <w:rPr>
                <w:rFonts w:ascii="Arial" w:cs="Arial" w:eastAsia="Arial" w:hAnsi="Arial"/>
                <w:b/>
                <w:bCs/>
                <w:sz w:val="22"/>
                <w:szCs w:val="22"/>
              </w:rPr>
              <w:t xml:space="preserve">By (Signature): </w:t>
            </w:r>
            <w:r>
              <w:rPr>
                <w:rFonts w:ascii="Arial" w:cs="Arial" w:eastAsia="Arial" w:hAnsi="Arial"/>
                <w:sz w:val="22"/>
                <w:szCs w:val="22"/>
              </w:rPr>
              <w:t xml:space="preserve">______________________________________</w:t>
            </w:r>
          </w:p>
          <w:p>
            <w:pPr>
              <w:spacing w:after="40" w:before="80"/>
            </w:pPr>
            <w:r>
              <w:rPr>
                <w:rFonts w:ascii="Arial" w:cs="Arial" w:eastAsia="Arial" w:hAnsi="Arial"/>
                <w:b/>
                <w:bCs/>
                <w:sz w:val="22"/>
                <w:szCs w:val="22"/>
              </w:rPr>
              <w:t xml:space="preserve">Printed Name: </w:t>
            </w:r>
            <w:r>
              <w:rPr>
                <w:rFonts w:ascii="Arial" w:cs="Arial" w:eastAsia="Arial" w:hAnsi="Arial"/>
                <w:sz w:val="22"/>
                <w:szCs w:val="22"/>
              </w:rPr>
              <w:t xml:space="preserve">_________________________________________</w:t>
            </w:r>
          </w:p>
          <w:p>
            <w:pPr>
              <w:spacing w:after="40" w:before="80"/>
            </w:pPr>
            <w:r>
              <w:rPr>
                <w:rFonts w:ascii="Arial" w:cs="Arial" w:eastAsia="Arial" w:hAnsi="Arial"/>
                <w:b/>
                <w:bCs/>
                <w:sz w:val="22"/>
                <w:szCs w:val="22"/>
              </w:rPr>
              <w:t xml:space="preserve">Title: </w:t>
            </w:r>
            <w:r>
              <w:rPr>
                <w:rFonts w:ascii="Arial" w:cs="Arial" w:eastAsia="Arial" w:hAnsi="Arial"/>
                <w:sz w:val="22"/>
                <w:szCs w:val="22"/>
              </w:rPr>
              <w:t xml:space="preserve">________________________________________________</w:t>
            </w:r>
          </w:p>
          <w:p>
            <w:pPr>
              <w:spacing w:after="40" w:before="80"/>
            </w:pPr>
            <w:r>
              <w:rPr>
                <w:rFonts w:ascii="Arial" w:cs="Arial" w:eastAsia="Arial" w:hAnsi="Arial"/>
                <w:b/>
                <w:bCs/>
                <w:sz w:val="22"/>
                <w:szCs w:val="22"/>
              </w:rPr>
              <w:t xml:space="preserve">Organization: </w:t>
            </w:r>
            <w:r>
              <w:rPr>
                <w:rFonts w:ascii="Arial" w:cs="Arial" w:eastAsia="Arial" w:hAnsi="Arial"/>
                <w:sz w:val="22"/>
                <w:szCs w:val="22"/>
              </w:rPr>
              <w:t xml:space="preserve">________________________________________</w:t>
            </w:r>
          </w:p>
          <w:p>
            <w:pPr>
              <w:spacing w:after="40" w:before="80"/>
            </w:pPr>
            <w:r>
              <w:rPr>
                <w:rFonts w:ascii="Arial" w:cs="Arial" w:eastAsia="Arial" w:hAnsi="Arial"/>
                <w:b/>
                <w:bCs/>
                <w:sz w:val="22"/>
                <w:szCs w:val="22"/>
              </w:rPr>
              <w:t xml:space="preserve">Address: </w:t>
            </w:r>
            <w:r>
              <w:rPr>
                <w:rFonts w:ascii="Arial" w:cs="Arial" w:eastAsia="Arial" w:hAnsi="Arial"/>
                <w:sz w:val="22"/>
                <w:szCs w:val="22"/>
              </w:rPr>
              <w:t xml:space="preserve">_____________________________________________</w:t>
            </w:r>
          </w:p>
          <w:p>
            <w:pPr>
              <w:spacing w:after="40" w:before="80"/>
            </w:pPr>
            <w:r>
              <w:rPr>
                <w:rFonts w:ascii="Arial" w:cs="Arial" w:eastAsia="Arial" w:hAnsi="Arial"/>
                <w:b/>
                <w:bCs/>
                <w:sz w:val="22"/>
                <w:szCs w:val="22"/>
              </w:rPr>
              <w:t xml:space="preserve">City / State / Zip: </w:t>
            </w:r>
            <w:r>
              <w:rPr>
                <w:rFonts w:ascii="Arial" w:cs="Arial" w:eastAsia="Arial" w:hAnsi="Arial"/>
                <w:sz w:val="22"/>
                <w:szCs w:val="22"/>
              </w:rPr>
              <w:t xml:space="preserve">__________________________________</w:t>
            </w:r>
          </w:p>
          <w:p>
            <w:pPr>
              <w:spacing w:after="40" w:before="80"/>
            </w:pPr>
            <w:r>
              <w:rPr>
                <w:rFonts w:ascii="Arial" w:cs="Arial" w:eastAsia="Arial" w:hAnsi="Arial"/>
                <w:b/>
                <w:bCs/>
                <w:sz w:val="22"/>
                <w:szCs w:val="22"/>
              </w:rPr>
              <w:t xml:space="preserve">Email: </w:t>
            </w:r>
            <w:r>
              <w:rPr>
                <w:rFonts w:ascii="Arial" w:cs="Arial" w:eastAsia="Arial" w:hAnsi="Arial"/>
                <w:sz w:val="22"/>
                <w:szCs w:val="22"/>
              </w:rPr>
              <w:t xml:space="preserve">_______________________________________________</w:t>
            </w:r>
          </w:p>
          <w:p>
            <w:pPr>
              <w:spacing w:after="40" w:before="8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_________________________________________________</w:t>
            </w: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80" w:before="200"/>
            </w:pPr>
            <w:r>
              <w:rPr>
                <w:rFonts w:ascii="Arial" w:cs="Arial" w:eastAsia="Arial" w:hAnsi="Arial"/>
                <w:b/>
                <w:bCs/>
                <w:sz w:val="22"/>
                <w:szCs w:val="22"/>
              </w:rPr>
            </w:r>
          </w:p>
          <w:p>
            <w:pPr>
              <w:spacing w:after="40" w:before="80"/>
            </w:pPr>
            <w:r>
              <w:rPr>
                <w:rFonts w:ascii="Arial" w:cs="Arial" w:eastAsia="Arial" w:hAnsi="Arial"/>
                <w:b/>
                <w:bCs/>
                <w:sz w:val="22"/>
                <w:szCs w:val="22"/>
              </w:rPr>
              <w:t xml:space="preserve">By (Signature): </w:t>
            </w:r>
            <w:r>
              <w:rPr>
                <w:rFonts w:ascii="Arial" w:cs="Arial" w:eastAsia="Arial" w:hAnsi="Arial"/>
                <w:sz w:val="22"/>
                <w:szCs w:val="22"/>
              </w:rPr>
              <w:t xml:space="preserve">______________________________________</w:t>
            </w:r>
          </w:p>
          <w:p>
            <w:pPr>
              <w:spacing w:after="40" w:before="80"/>
            </w:pPr>
            <w:r>
              <w:rPr>
                <w:rFonts w:ascii="Arial" w:cs="Arial" w:eastAsia="Arial" w:hAnsi="Arial"/>
                <w:b/>
                <w:bCs/>
                <w:sz w:val="22"/>
                <w:szCs w:val="22"/>
              </w:rPr>
              <w:t xml:space="preserve">Printed Name: </w:t>
            </w:r>
            <w:r>
              <w:rPr>
                <w:rFonts w:ascii="Arial" w:cs="Arial" w:eastAsia="Arial" w:hAnsi="Arial"/>
                <w:sz w:val="22"/>
                <w:szCs w:val="22"/>
              </w:rPr>
              <w:t xml:space="preserve">_________________________________________</w:t>
            </w:r>
          </w:p>
          <w:p>
            <w:pPr>
              <w:spacing w:after="40" w:before="80"/>
            </w:pPr>
            <w:r>
              <w:rPr>
                <w:rFonts w:ascii="Arial" w:cs="Arial" w:eastAsia="Arial" w:hAnsi="Arial"/>
                <w:b/>
                <w:bCs/>
                <w:sz w:val="22"/>
                <w:szCs w:val="22"/>
              </w:rPr>
              <w:t xml:space="preserve">Title: </w:t>
            </w:r>
            <w:r>
              <w:rPr>
                <w:rFonts w:ascii="Arial" w:cs="Arial" w:eastAsia="Arial" w:hAnsi="Arial"/>
                <w:sz w:val="22"/>
                <w:szCs w:val="22"/>
              </w:rPr>
              <w:t xml:space="preserve">________________________________________________</w:t>
            </w:r>
          </w:p>
          <w:p>
            <w:pPr>
              <w:spacing w:after="40" w:before="80"/>
            </w:pPr>
            <w:r>
              <w:rPr>
                <w:rFonts w:ascii="Arial" w:cs="Arial" w:eastAsia="Arial" w:hAnsi="Arial"/>
                <w:b/>
                <w:bCs/>
                <w:sz w:val="22"/>
                <w:szCs w:val="22"/>
              </w:rPr>
              <w:t xml:space="preserve">Organization: </w:t>
            </w:r>
            <w:r>
              <w:rPr>
                <w:rFonts w:ascii="Arial" w:cs="Arial" w:eastAsia="Arial" w:hAnsi="Arial"/>
                <w:sz w:val="22"/>
                <w:szCs w:val="22"/>
              </w:rPr>
              <w:t xml:space="preserve">________________________________________</w:t>
            </w:r>
          </w:p>
          <w:p>
            <w:pPr>
              <w:spacing w:after="40" w:before="80"/>
            </w:pPr>
            <w:r>
              <w:rPr>
                <w:rFonts w:ascii="Arial" w:cs="Arial" w:eastAsia="Arial" w:hAnsi="Arial"/>
                <w:b/>
                <w:bCs/>
                <w:sz w:val="22"/>
                <w:szCs w:val="22"/>
              </w:rPr>
              <w:t xml:space="preserve">Address: </w:t>
            </w:r>
            <w:r>
              <w:rPr>
                <w:rFonts w:ascii="Arial" w:cs="Arial" w:eastAsia="Arial" w:hAnsi="Arial"/>
                <w:sz w:val="22"/>
                <w:szCs w:val="22"/>
              </w:rPr>
              <w:t xml:space="preserve">_____________________________________________</w:t>
            </w:r>
          </w:p>
          <w:p>
            <w:pPr>
              <w:spacing w:after="40" w:before="80"/>
            </w:pPr>
            <w:r>
              <w:rPr>
                <w:rFonts w:ascii="Arial" w:cs="Arial" w:eastAsia="Arial" w:hAnsi="Arial"/>
                <w:b/>
                <w:bCs/>
                <w:sz w:val="22"/>
                <w:szCs w:val="22"/>
              </w:rPr>
              <w:t xml:space="preserve">City / State / Zip: </w:t>
            </w:r>
            <w:r>
              <w:rPr>
                <w:rFonts w:ascii="Arial" w:cs="Arial" w:eastAsia="Arial" w:hAnsi="Arial"/>
                <w:sz w:val="22"/>
                <w:szCs w:val="22"/>
              </w:rPr>
              <w:t xml:space="preserve">__________________________________</w:t>
            </w:r>
          </w:p>
          <w:p>
            <w:pPr>
              <w:spacing w:after="40" w:before="80"/>
            </w:pPr>
            <w:r>
              <w:rPr>
                <w:rFonts w:ascii="Arial" w:cs="Arial" w:eastAsia="Arial" w:hAnsi="Arial"/>
                <w:b/>
                <w:bCs/>
                <w:sz w:val="22"/>
                <w:szCs w:val="22"/>
              </w:rPr>
              <w:t xml:space="preserve">Email: </w:t>
            </w:r>
            <w:r>
              <w:rPr>
                <w:rFonts w:ascii="Arial" w:cs="Arial" w:eastAsia="Arial" w:hAnsi="Arial"/>
                <w:sz w:val="22"/>
                <w:szCs w:val="22"/>
              </w:rPr>
              <w:t xml:space="preserve">_______________________________________________</w:t>
            </w:r>
          </w:p>
          <w:p>
            <w:pPr>
              <w:spacing w:after="40" w:before="8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_________________________________________________</w:t>
            </w:r>
          </w:p>
        </w:tc>
      </w:tr>
    </w:tbl>
    <w:p>
      <w:pPr>
        <w:spacing w:after="60" w:before="60"/>
      </w:pPr>
    </w:p>
    <w:p>
      <w:pPr>
        <w:spacing w:after="60" w:before="60"/>
      </w:pPr>
    </w:p>
    <w:p>
      <w:pPr>
        <w:pBdr>
          <w:bottom w:val="single" w:color="2E75B6" w:sz="6" w:space="1"/>
        </w:pBdr>
        <w:spacing w:after="200" w:before="200"/>
      </w:pPr>
    </w:p>
    <w:p>
      <w:pPr>
        <w:pStyle w:val="Heading1"/>
        <w:spacing w:after="120" w:before="280"/>
      </w:pPr>
      <w:r>
        <w:rPr>
          <w:rFonts w:ascii="Arial" w:cs="Arial" w:eastAsia="Arial" w:hAnsi="Arial"/>
          <w:b/>
          <w:bCs/>
          <w:color w:val="1F3864"/>
          <w:sz w:val="28"/>
          <w:szCs w:val="28"/>
        </w:rPr>
        <w:t xml:space="preserve">EXHIBIT A — DESCRIPTION OF SERVICES AND PHI</w:t>
      </w:r>
    </w:p>
    <w:p>
      <w:pPr>
        <w:spacing w:after="80" w:before="80"/>
      </w:pPr>
      <w:r>
        <w:rPr>
          <w:rFonts w:ascii="Arial" w:cs="Arial" w:eastAsia="Arial" w:hAnsi="Arial"/>
          <w:b/>
          <w:bCs/>
          <w:sz w:val="22"/>
          <w:szCs w:val="22"/>
        </w:rPr>
        <w:t xml:space="preserve">Services: </w:t>
      </w:r>
      <w:r>
        <w:rPr>
          <w:rFonts w:ascii="Arial" w:cs="Arial" w:eastAsia="Arial" w:hAnsi="Arial"/>
          <w:sz w:val="22"/>
          <w:szCs w:val="22"/>
        </w:rPr>
        <w:t xml:space="preserve">AI-assisted clinical progress note drafting for licensed behavioral health clinicians, including: structured session intake form processing, SOAP / DAP / BIRP note generation via large language model inference, clinician edit tracking, clipboard export, and automated PHI purge.</w:t>
      </w:r>
    </w:p>
    <w:p>
      <w:pPr>
        <w:spacing w:after="60" w:before="60"/>
      </w:pPr>
    </w:p>
    <w:p>
      <w:pPr>
        <w:spacing w:after="80" w:before="80"/>
      </w:pPr>
      <w:r>
        <w:rPr>
          <w:rFonts w:ascii="Arial" w:cs="Arial" w:eastAsia="Arial" w:hAnsi="Arial"/>
          <w:b/>
          <w:bCs/>
          <w:sz w:val="22"/>
          <w:szCs w:val="22"/>
        </w:rPr>
        <w:t xml:space="preserve">Nature of PHI: </w:t>
      </w:r>
      <w:r>
        <w:rPr>
          <w:rFonts w:ascii="Arial" w:cs="Arial" w:eastAsia="Arial" w:hAnsi="Arial"/>
          <w:sz w:val="22"/>
          <w:szCs w:val="22"/>
        </w:rPr>
        <w:t xml:space="preserve">Client first name (or pseudonym), session date and number, session type and duration, presenting diagnosis, treatment modality, treatment goals, client self-report, therapist observations (affect, engagement, eye contact, appearance, speech, thought process), risk level and details, interventions used, and clinical plan.</w:t>
      </w:r>
    </w:p>
    <w:p>
      <w:pPr>
        <w:spacing w:after="60" w:before="60"/>
      </w:pPr>
    </w:p>
    <w:p>
      <w:pPr>
        <w:spacing w:after="80" w:before="80"/>
      </w:pPr>
      <w:r>
        <w:rPr>
          <w:rFonts w:ascii="Arial" w:cs="Arial" w:eastAsia="Arial" w:hAnsi="Arial"/>
          <w:b/>
          <w:bCs/>
          <w:sz w:val="22"/>
          <w:szCs w:val="22"/>
        </w:rPr>
        <w:t xml:space="preserve">Permitted Purpose: </w:t>
      </w:r>
      <w:r>
        <w:rPr>
          <w:rFonts w:ascii="Arial" w:cs="Arial" w:eastAsia="Arial" w:hAnsi="Arial"/>
          <w:sz w:val="22"/>
          <w:szCs w:val="22"/>
        </w:rPr>
        <w:t xml:space="preserve">Generation of draft clinical progress notes for review, editing, and incorporation into the Covered Entity’s electronic health record or practice management system.</w:t>
      </w:r>
    </w:p>
    <w:p>
      <w:pPr>
        <w:spacing w:after="60" w:before="60"/>
      </w:pPr>
    </w:p>
    <w:p>
      <w:pPr>
        <w:spacing w:after="80" w:before="80"/>
      </w:pPr>
      <w:r>
        <w:rPr>
          <w:rFonts w:ascii="Arial" w:cs="Arial" w:eastAsia="Arial" w:hAnsi="Arial"/>
          <w:b/>
          <w:bCs/>
          <w:sz w:val="22"/>
          <w:szCs w:val="22"/>
        </w:rPr>
        <w:t xml:space="preserve">Duration of Retention: </w:t>
      </w:r>
      <w:r>
        <w:rPr>
          <w:rFonts w:ascii="Arial" w:cs="Arial" w:eastAsia="Arial" w:hAnsi="Arial"/>
          <w:sz w:val="22"/>
          <w:szCs w:val="22"/>
        </w:rPr>
        <w:t xml:space="preserve">PHI is purged automatically within thirty (30) minutes of note generation per the zero-retention architecture described in Section 2.5. No PHI is retained beyond this window under normal operations.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595959"/>
        <w:sz w:val="18"/>
        <w:szCs w:val="18"/>
      </w:rPr>
      <w:t xml:space="preserve">Bearing Digital LLC  |  Clarity AI Clinical Note Generator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2E75B6"/>
        <w:sz w:val="18"/>
        <w:szCs w:val="18"/>
      </w:rPr>
      <w:t xml:space="preserve">CLARITY — HIPAA Business Associate Agreement</w:t>
    </w:r>
    <w:r>
      <w:rPr>
        <w:rFonts w:ascii="Arial" w:cs="Arial" w:eastAsia="Arial" w:hAnsi="Arial"/>
        <w:sz w:val="18"/>
        <w:szCs w:val="18"/>
      </w:rPr>
      <w:t xml:space="preserve">	</w:t>
    </w:r>
    <w:r>
      <w:rPr>
        <w:rFonts w:ascii="Arial" w:cs="Arial" w:eastAsia="Arial" w:hAnsi="Arial"/>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80" w:before="200"/>
        <w:ind w:left="540" w:hanging="360"/>
      </w:pPr>
      <w:rPr>
        <w:rFonts w:ascii="Arial" w:cs="Arial" w:eastAsia="Arial" w:hAnsi="Arial"/>
        <w:b/>
        <w:bCs/>
        <w:sz w:val="22"/>
        <w:szCs w:val="22"/>
      </w:rPr>
    </w:lvl>
  </w:abstractNum>
  <w:abstractNum w:abstractNumId="3" w15:restartNumberingAfterBreak="0">
    <w:multiLevelType w:val="hybridMultilevel"/>
    <w:lvl w:ilvl="0" w15:tentative="1">
      <w:start w:val="1"/>
      <w:numFmt w:val="lowerLetter"/>
      <w:lvlText w:val="(%1)"/>
      <w:lvlJc w:val="left"/>
      <w:pPr>
        <w:spacing w:after="60" w:before="60"/>
        <w:ind w:left="900" w:hanging="42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2026-03-20T17:13:55.424Z</dcterms:created>
  <dcterms:modified xsi:type="dcterms:W3CDTF">2026-03-20T17:13:55.425Z</dcterms:modified>
</cp:coreProperties>
</file>

<file path=docProps/custom.xml><?xml version="1.0" encoding="utf-8"?>
<Properties xmlns="http://schemas.openxmlformats.org/officeDocument/2006/custom-properties" xmlns:vt="http://schemas.openxmlformats.org/officeDocument/2006/docPropsVTypes"/>
</file>