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r>
        <w:rPr>
          <w:rFonts w:ascii="Arial" w:cs="Arial" w:eastAsia="Arial" w:hAnsi="Arial"/>
          <w:b/>
          <w:bCs/>
          <w:caps/>
          <w:color w:val="2D6A4F"/>
          <w:sz w:val="20"/>
          <w:szCs w:val="20"/>
        </w:rPr>
        <w:t xml:space="preserve">FUNDING &amp; GRANTS GUIDE</w:t>
      </w:r>
    </w:p>
    <w:p>
      <w:pPr>
        <w:spacing w:after="200"/>
      </w:pPr>
    </w:p>
    <w:p>
      <w:pPr>
        <w:spacing w:after="100"/>
      </w:pPr>
      <w:r>
        <w:rPr>
          <w:rFonts w:ascii="Arial" w:cs="Arial" w:eastAsia="Arial" w:hAnsi="Arial"/>
          <w:b/>
          <w:bCs/>
          <w:color w:val="1B4332"/>
          <w:sz w:val="56"/>
          <w:szCs w:val="56"/>
        </w:rPr>
        <w:t xml:space="preserve">Growing America’s Youth</w:t>
      </w:r>
    </w:p>
    <w:p>
      <w:pPr>
        <w:spacing w:after="80"/>
      </w:pPr>
      <w:r>
        <w:rPr>
          <w:rFonts w:ascii="Arial" w:cs="Arial" w:eastAsia="Arial" w:hAnsi="Arial"/>
          <w:color w:val="2D6A4F"/>
          <w:sz w:val="30"/>
          <w:szCs w:val="30"/>
        </w:rPr>
        <w:t xml:space="preserve">Maryland Grant Opportunities</w:t>
      </w:r>
    </w:p>
    <w:p>
      <w:pPr>
        <w:spacing w:after="80"/>
      </w:pPr>
    </w:p>
    <w:p>
      <w:pPr>
        <w:pBdr>
          <w:top w:val="single" w:color="52B788" w:sz="6" w:space="1"/>
        </w:pBdr>
        <w:spacing w:before="80"/>
      </w:pPr>
    </w:p>
    <w:p>
      <w:pPr>
        <w:spacing w:after="200"/>
      </w:pPr>
    </w:p>
    <w:p>
      <w:pPr>
        <w:spacing w:after="200"/>
        <w:rPr>
          <w:i/>
          <w:iCs/>
          <w:color w:val="6B7280"/>
          <w:sz w:val="24"/>
          <w:szCs w:val="24"/>
        </w:rPr>
      </w:pPr>
      <w:r>
        <w:rPr>
          <w:rFonts w:ascii="Arial" w:cs="Arial" w:eastAsia="Arial" w:hAnsi="Arial"/>
          <w:i/>
          <w:iCs/>
          <w:color w:val="6B7280"/>
          <w:sz w:val="24"/>
          <w:szCs w:val="24"/>
        </w:rPr>
        <w:t xml:space="preserve">A curated directory of federal, state, and private grant opportunities available to Growing America’s Youth — a Baltimore City 501(c)(3) nonprofit focused on hydroponic agriculture, STEM education, food safety certification, and youth development. Each listing includes eligibility notes, funding amounts, deadlines, and strategic fit analysis.</w:t>
      </w:r>
    </w:p>
    <w:p>
      <w:pPr>
        <w:spacing w:after="400"/>
      </w:pPr>
    </w:p>
    <w:p>
      <w:r>
        <w:rPr>
          <w:rFonts w:ascii="Arial" w:cs="Arial" w:eastAsia="Arial" w:hAnsi="Arial"/>
          <w:color w:val="6B7280"/>
          <w:sz w:val="22"/>
          <w:szCs w:val="22"/>
        </w:rPr>
        <w:t xml:space="preserve">Prepared: March 2026</w:t>
      </w:r>
    </w:p>
    <w:p>
      <w:r>
        <w:rPr>
          <w:rFonts w:ascii="Arial" w:cs="Arial" w:eastAsia="Arial" w:hAnsi="Arial"/>
          <w:color w:val="6B7280"/>
          <w:sz w:val="22"/>
          <w:szCs w:val="22"/>
        </w:rPr>
        <w:t xml:space="preserve">Categories: Federal, State (Maryland), Local (Baltimore), Private Foundation</w:t>
      </w:r>
    </w:p>
    <w:p>
      <w:r>
        <w:rPr>
          <w:rFonts w:ascii="Arial" w:cs="Arial" w:eastAsia="Arial" w:hAnsi="Arial"/>
          <w:color w:val="6B7280"/>
          <w:sz w:val="22"/>
          <w:szCs w:val="22"/>
        </w:rPr>
        <w:t xml:space="preserve">Note: Deadlines shift annually. Verify all dates before applying.</w:t>
      </w:r>
    </w:p>
    <w:p>
      <w:pPr>
        <w:sectPr>
          <w:pgSz w:w="12240" w:h="15840" w:orient="portrait"/>
          <w:pgMar w:top="1440" w:right="1440" w:bottom="1440" w:left="1440" w:header="708" w:footer="708" w:gutter="0"/>
          <w:pgNumType/>
          <w:docGrid w:linePitch="360"/>
        </w:sectPr>
      </w:pPr>
    </w:p>
    <w:p>
      <w:pPr>
        <w:pStyle w:val="Heading1"/>
      </w:pPr>
      <w:r>
        <w:t xml:space="preserve">How to Use This Guide</w:t>
      </w:r>
    </w:p>
    <w:p>
      <w:pPr>
        <w:spacing w:after="200"/>
      </w:pPr>
      <w:r>
        <w:rPr>
          <w:rFonts w:ascii="Arial" w:cs="Arial" w:eastAsia="Arial" w:hAnsi="Arial"/>
          <w:color w:val="374151"/>
          <w:sz w:val="22"/>
          <w:szCs w:val="22"/>
        </w:rPr>
        <w:t xml:space="preserve">This document organizes grant opportunities into four tiers: federal programs, Maryland state programs, Baltimore-area local funders, and private/national foundations. Each grant listing includes the funder, typical award amount, deadline timing, a link to the source, and a “Fit” rating indicating how well the opportunity aligns with GAY’s specific mission areas (hydroponics, STEM, food access, youth development, workforce readiness).</w:t>
      </w:r>
    </w:p>
    <w:p>
      <w:pPr>
        <w:spacing w:after="200"/>
      </w:pPr>
      <w:r>
        <w:rPr>
          <w:rFonts w:ascii="Arial" w:cs="Arial" w:eastAsia="Arial" w:hAnsi="Arial"/>
          <w:color w:val="374151"/>
          <w:sz w:val="22"/>
          <w:szCs w:val="22"/>
        </w:rPr>
        <w:t xml:space="preserve">Because grant cycles shift annually and many programs operate on rolling deadlines, all dates listed here represent the most recent known cycle. GAY should verify current deadlines by visiting each funder’s website before beginning an application. Where possible, sign up for email alerts from each funder to be notified when new cycles open.</w:t>
      </w:r>
    </w:p>
    <w:p>
      <w:pPr>
        <w:spacing w:after="200"/>
      </w:pPr>
      <w:r>
        <w:rPr>
          <w:rFonts w:ascii="Arial" w:cs="Arial" w:eastAsia="Arial" w:hAnsi="Arial"/>
          <w:color w:val="374151"/>
          <w:sz w:val="22"/>
          <w:szCs w:val="22"/>
        </w:rPr>
        <w:t xml:space="preserve">A strategic note: GAY’s programming touches multiple funding categories simultaneously — urban agriculture, STEM education, food access, youth employment, and workforce development. This is a significant advantage. When writing applications, tailor the framing to match each funder’s language. For USDA, lead with agriculture and food access. For education-focused funders, lead with STEM and certifications. For youth development funders, lead with at-risk youth outcomes. The program is the same; the story you tell about it should shift.</w:t>
      </w:r>
    </w:p>
    <w:p>
      <w:pPr>
        <w:pBdr>
          <w:bottom w:val="single" w:color="52B788" w:sz="2" w:space="1"/>
        </w:pBdr>
        <w:spacing w:before="200" w:after="200"/>
      </w:pPr>
    </w:p>
    <w:p>
      <w:pPr>
        <w:pStyle w:val="Heading1"/>
      </w:pPr>
      <w:r>
        <w:t xml:space="preserve">1. Federal Grants</w:t>
      </w:r>
    </w:p>
    <w:p>
      <w:pPr>
        <w:spacing w:after="200"/>
      </w:pPr>
      <w:r>
        <w:rPr>
          <w:rFonts w:ascii="Arial" w:cs="Arial" w:eastAsia="Arial" w:hAnsi="Arial"/>
          <w:color w:val="374151"/>
          <w:sz w:val="22"/>
          <w:szCs w:val="22"/>
        </w:rPr>
        <w:t xml:space="preserve">Federal grants tend to be larger but more competitive, with longer application timelines and more rigorous reporting requirements. These are worth pursuing once GAY has at least one full year of documented program outcomes and clean financial statements.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Urban Agriculture and Innovative Production (UAIP) Grants</w:t>
            </w:r>
          </w:p>
          <w:p>
            <w:pPr>
              <w:spacing w:after="40"/>
            </w:pPr>
            <w:r>
              <w:rPr>
                <w:rFonts w:ascii="Arial" w:cs="Arial" w:eastAsia="Arial" w:hAnsi="Arial"/>
                <w:b/>
                <w:bCs/>
                <w:color w:val="2D6A4F"/>
                <w:sz w:val="20"/>
                <w:szCs w:val="20"/>
              </w:rPr>
              <w:t xml:space="preserve">USDA — Office of Urban Agriculture and Innovative Production (OUAIP)</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Planning projects up to $75,000; Implementation projects up to $300,000+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Typically March (annual cycle); 2025 deadline was March 10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Perfect Fit</w:t>
            </w:r>
          </w:p>
          <w:p>
            <w:pPr>
              <w:spacing w:after="60"/>
            </w:pPr>
            <w:r>
              <w:rPr>
                <w:rFonts w:ascii="Arial" w:cs="Arial" w:eastAsia="Arial" w:hAnsi="Arial"/>
                <w:color w:val="374151"/>
                <w:sz w:val="20"/>
                <w:szCs w:val="20"/>
              </w:rPr>
              <w:t xml:space="preserve">This is GAY’s single highest-priority federal grant. UAIP specifically funds urban agriculture, hydroponic and innovative production, food access in underserved areas, STEM education through agriculture, and job training for new farmers. Previous awardees include school districts using hydroponic technology and cooperatives building vertical growing systems. The program has invested over $53 million since 2020. GAY should apply under the Planning category first to build a track record, then pursue Implementation funding. Contact: urbanagriculture@usda.gov.</w:t>
            </w:r>
          </w:p>
          <w:p>
            <w:pPr>
              <w:spacing w:after="40"/>
            </w:pPr>
            <w:r>
              <w:rPr>
                <w:rFonts w:ascii="Arial" w:cs="Arial" w:eastAsia="Arial" w:hAnsi="Arial"/>
                <w:color w:val="6B7280"/>
                <w:sz w:val="18"/>
                <w:szCs w:val="18"/>
              </w:rPr>
              <w:t xml:space="preserve">usda.gov/farming-and-ranching/agricultural-education-and-outreach/urban-agriculture-and-innovative-production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Agriculture and Food Research Initiative (AFRI) — Education Grants</w:t>
            </w:r>
          </w:p>
          <w:p>
            <w:pPr>
              <w:spacing w:after="40"/>
            </w:pPr>
            <w:r>
              <w:rPr>
                <w:rFonts w:ascii="Arial" w:cs="Arial" w:eastAsia="Arial" w:hAnsi="Arial"/>
                <w:b/>
                <w:bCs/>
                <w:color w:val="2D6A4F"/>
                <w:sz w:val="20"/>
                <w:szCs w:val="20"/>
              </w:rPr>
              <w:t xml:space="preserve">USDA — National Institute of Food and Agriculture (NIFA)</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education grants typically $50,000–$500,000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Multiple cycles per year; check nifa.usda.gov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AFRI funds education and extension projects that develop the next generation of agricultural workforce. GAY’s combination of hands-on hydroponics, STEM, and career development fits the “education and workforce development” priority area. Best pursued in partnership with a university (e.g., University of Maryland Extension, Morgan State University) as a collaborating institution.</w:t>
            </w:r>
          </w:p>
          <w:p>
            <w:pPr>
              <w:spacing w:after="40"/>
            </w:pPr>
            <w:r>
              <w:rPr>
                <w:rFonts w:ascii="Arial" w:cs="Arial" w:eastAsia="Arial" w:hAnsi="Arial"/>
                <w:color w:val="6B7280"/>
                <w:sz w:val="18"/>
                <w:szCs w:val="18"/>
              </w:rPr>
              <w:t xml:space="preserve">nifa.usda.gov/grants/programs/agriculture-food-research-initiative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Community Compost and Food Waste Reduction Cooperative Agreements</w:t>
            </w:r>
          </w:p>
          <w:p>
            <w:pPr>
              <w:spacing w:after="40"/>
            </w:pPr>
            <w:r>
              <w:rPr>
                <w:rFonts w:ascii="Arial" w:cs="Arial" w:eastAsia="Arial" w:hAnsi="Arial"/>
                <w:b/>
                <w:bCs/>
                <w:color w:val="2D6A4F"/>
                <w:sz w:val="20"/>
                <w:szCs w:val="20"/>
              </w:rPr>
              <w:t xml:space="preserve">USDA — Office of Urban Agriculture and Innovative Production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Up to $300,000 per project; 25% match required (in-kind eligible)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Annual cycle; check usda.gov/urban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If GAY expands programming to include composting or food waste reduction alongside hydroponics, this becomes a strong funding source. Could support a module on closed-loop food systems where participants learn to compost food waste and recycle nutrients into hydroponic growing.</w:t>
            </w:r>
          </w:p>
          <w:p>
            <w:pPr>
              <w:spacing w:after="40"/>
            </w:pPr>
            <w:r>
              <w:rPr>
                <w:rFonts w:ascii="Arial" w:cs="Arial" w:eastAsia="Arial" w:hAnsi="Arial"/>
                <w:color w:val="6B7280"/>
                <w:sz w:val="18"/>
                <w:szCs w:val="18"/>
              </w:rPr>
              <w:t xml:space="preserve">usda.gov/farming-and-ranching/agricultural-education-and-outreach/urban-agriculture-and-innovative-production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NRCS Conservation Programs for Urban Farmers</w:t>
            </w:r>
          </w:p>
          <w:p>
            <w:pPr>
              <w:spacing w:after="40"/>
            </w:pPr>
            <w:r>
              <w:rPr>
                <w:rFonts w:ascii="Arial" w:cs="Arial" w:eastAsia="Arial" w:hAnsi="Arial"/>
                <w:b/>
                <w:bCs/>
                <w:color w:val="2D6A4F"/>
                <w:sz w:val="20"/>
                <w:szCs w:val="20"/>
              </w:rPr>
              <w:t xml:space="preserve">USDA — Natural Resources Conservation Service</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high tunnel cost-share and conservation planning assistance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Rolling; contact Baltimore County USDA NRCS office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NRCS provides cost-share and technical assistance to urban agricultural producers. The high tunnel cost-share program is particularly accessible. UMD Extension offers an education program to help farmers from historically underserved communities access NRCS programs. GAY should contact UMD Extension’s Small Farm and Urban Agriculture Program for guidance.</w:t>
            </w:r>
          </w:p>
          <w:p>
            <w:pPr>
              <w:spacing w:after="40"/>
            </w:pPr>
            <w:r>
              <w:rPr>
                <w:rFonts w:ascii="Arial" w:cs="Arial" w:eastAsia="Arial" w:hAnsi="Arial"/>
                <w:color w:val="6B7280"/>
                <w:sz w:val="18"/>
                <w:szCs w:val="18"/>
              </w:rPr>
              <w:t xml:space="preserve">nrcs.usda.gov</w:t>
            </w:r>
          </w:p>
        </w:tc>
      </w:tr>
    </w:tbl>
    <w:p>
      <w:pPr>
        <w:pBdr>
          <w:bottom w:val="single" w:color="52B788" w:sz="2" w:space="1"/>
        </w:pBdr>
        <w:spacing w:before="200" w:after="200"/>
      </w:pPr>
    </w:p>
    <w:p>
      <w:pPr>
        <w:pStyle w:val="Heading1"/>
      </w:pPr>
      <w:r>
        <w:t xml:space="preserve">2. State of Maryland Grants</w:t>
      </w:r>
    </w:p>
    <w:p>
      <w:pPr>
        <w:spacing w:after="200"/>
      </w:pPr>
      <w:r>
        <w:rPr>
          <w:rFonts w:ascii="Arial" w:cs="Arial" w:eastAsia="Arial" w:hAnsi="Arial"/>
          <w:color w:val="374151"/>
          <w:sz w:val="22"/>
          <w:szCs w:val="22"/>
        </w:rPr>
        <w:t xml:space="preserve">Maryland has several programs that directly support urban agriculture, food access, and small nonprofit operations. These tend to be less competitive than federal grants and often have simpler application processes.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Urban Agriculture Water and Power Infrastructure Grants</w:t>
            </w:r>
          </w:p>
          <w:p>
            <w:pPr>
              <w:spacing w:after="40"/>
            </w:pPr>
            <w:r>
              <w:rPr>
                <w:rFonts w:ascii="Arial" w:cs="Arial" w:eastAsia="Arial" w:hAnsi="Arial"/>
                <w:b/>
                <w:bCs/>
                <w:color w:val="2D6A4F"/>
                <w:sz w:val="20"/>
                <w:szCs w:val="20"/>
              </w:rPr>
              <w:t xml:space="preserve">Maryland Department of Agriculture — Small Farm &amp; Urban Agriculture Program</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Up to $500,000 per year distributed across grantees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Rolling — applications accepted as long as funds remain (through FY 2027)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Perfect Fit</w:t>
            </w:r>
          </w:p>
          <w:p>
            <w:pPr>
              <w:spacing w:after="60"/>
            </w:pPr>
            <w:r>
              <w:rPr>
                <w:rFonts w:ascii="Arial" w:cs="Arial" w:eastAsia="Arial" w:hAnsi="Arial"/>
                <w:color w:val="374151"/>
                <w:sz w:val="20"/>
                <w:szCs w:val="20"/>
              </w:rPr>
              <w:t xml:space="preserve">This program provides funding for urban farms and community gardens to purchase and install water meters, irrigation equipment, electric meters, and other infrastructure. If GAY operates or plans to operate hydroponic growing facilities, this grant can help fund the physical infrastructure. Requirement: must produce a farm product generating at least $1,000 in sales or donations annually. Must be located in an urban area per the program’s interactive map. Contact: Bill Tharpe at william.tharpe@maryland.gov or 410-841-5869.</w:t>
            </w:r>
          </w:p>
          <w:p>
            <w:pPr>
              <w:spacing w:after="40"/>
            </w:pPr>
            <w:r>
              <w:rPr>
                <w:rFonts w:ascii="Arial" w:cs="Arial" w:eastAsia="Arial" w:hAnsi="Arial"/>
                <w:color w:val="6B7280"/>
                <w:sz w:val="18"/>
                <w:szCs w:val="18"/>
              </w:rPr>
              <w:t xml:space="preserve">mda.maryland.gov/resource_conservation/Pages/Infrastructure-Grants.aspx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Maryland Food and Agricultural Resiliency Mechanism (MFARM) Grant</w:t>
            </w:r>
          </w:p>
          <w:p>
            <w:pPr>
              <w:spacing w:after="40"/>
            </w:pPr>
            <w:r>
              <w:rPr>
                <w:rFonts w:ascii="Arial" w:cs="Arial" w:eastAsia="Arial" w:hAnsi="Arial"/>
                <w:b/>
                <w:bCs/>
                <w:color w:val="2D6A4F"/>
                <w:sz w:val="20"/>
                <w:szCs w:val="20"/>
              </w:rPr>
              <w:t xml:space="preserve">Maryland Department of Agriculture</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by project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Annual cycle; 2023 deadline was September 30; watch for 2026 announcement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Funds food banks, charitable emergency food providers, and nonprofits focused on food insecurity/food access. Grant funds can be used to purchase agricultural products from Maryland’s Certified Local Farm and Fish Directory and deliver food to families in need. If GAY distributes any produce grown through its hydroponic program to families, this is a natural fit. Nine nonprofits received awards in the most recent cycle.</w:t>
            </w:r>
          </w:p>
          <w:p>
            <w:pPr>
              <w:spacing w:after="40"/>
            </w:pPr>
            <w:r>
              <w:rPr>
                <w:rFonts w:ascii="Arial" w:cs="Arial" w:eastAsia="Arial" w:hAnsi="Arial"/>
                <w:color w:val="6B7280"/>
                <w:sz w:val="18"/>
                <w:szCs w:val="18"/>
              </w:rPr>
              <w:t xml:space="preserve">mda.maryland.gov/maryland_products/Pages/Maryland-Food-and-Agricultural-Resiliency-Mechanism-Grant-Program.aspx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Maryland Agricultural Education and Rural Development Assistance Fund (MAERDAF)</w:t>
            </w:r>
          </w:p>
          <w:p>
            <w:pPr>
              <w:spacing w:after="40"/>
            </w:pPr>
            <w:r>
              <w:rPr>
                <w:rFonts w:ascii="Arial" w:cs="Arial" w:eastAsia="Arial" w:hAnsi="Arial"/>
                <w:b/>
                <w:bCs/>
                <w:color w:val="2D6A4F"/>
                <w:sz w:val="20"/>
                <w:szCs w:val="20"/>
              </w:rPr>
              <w:t xml:space="preserve">Maryland Department of Agriculture via Rural Maryland Council</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Matching grants; amounts vary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Annual cycle; check rural.maryland.gov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Supports agricultural education and economic development projects. The goal is to foster growth in Maryland’s existing and emerging agricultural businesses. GAY’s educational programming in hydroponic agriculture could qualify, especially if framed as workforce development and emerging agricultural business training.</w:t>
            </w:r>
          </w:p>
          <w:p>
            <w:pPr>
              <w:spacing w:after="40"/>
            </w:pPr>
            <w:r>
              <w:rPr>
                <w:rFonts w:ascii="Arial" w:cs="Arial" w:eastAsia="Arial" w:hAnsi="Arial"/>
                <w:color w:val="6B7280"/>
                <w:sz w:val="18"/>
                <w:szCs w:val="18"/>
              </w:rPr>
              <w:t xml:space="preserve">rural.maryland.gov</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Weinberg Foundation — Maryland Small Grants Program</w:t>
            </w:r>
          </w:p>
          <w:p>
            <w:pPr>
              <w:spacing w:after="40"/>
            </w:pPr>
            <w:r>
              <w:rPr>
                <w:rFonts w:ascii="Arial" w:cs="Arial" w:eastAsia="Arial" w:hAnsi="Arial"/>
                <w:b/>
                <w:bCs/>
                <w:color w:val="2D6A4F"/>
                <w:sz w:val="20"/>
                <w:szCs w:val="20"/>
              </w:rPr>
              <w:t xml:space="preserve">Harry and Jeanette Weinberg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Up to $50,000 over two years ($100,000 total)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Rolling / periodic cycles; check hjweinbergfoundation.org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The SGP supports smaller nonprofits (budget under $3 million) in Maryland and other priority communities with streamlined applications. Eligible for operating, program, or capital grants. GAY’s work in education and jobs for low-income youth aligns with two of the foundation’s five focus areas. Requires two years of 990s, two years of audited financials or external reviews, and at least one year of program outcomes.</w:t>
            </w:r>
          </w:p>
          <w:p>
            <w:pPr>
              <w:spacing w:after="40"/>
            </w:pPr>
            <w:r>
              <w:rPr>
                <w:rFonts w:ascii="Arial" w:cs="Arial" w:eastAsia="Arial" w:hAnsi="Arial"/>
                <w:color w:val="6B7280"/>
                <w:sz w:val="18"/>
                <w:szCs w:val="18"/>
              </w:rPr>
              <w:t xml:space="preserve">hjweinbergfoundation.org</w:t>
            </w:r>
          </w:p>
        </w:tc>
      </w:tr>
    </w:tbl>
    <w:p>
      <w:pPr>
        <w:pBdr>
          <w:bottom w:val="single" w:color="52B788" w:sz="2" w:space="1"/>
        </w:pBdr>
        <w:spacing w:before="200" w:after="200"/>
      </w:pPr>
    </w:p>
    <w:p>
      <w:pPr>
        <w:pStyle w:val="Heading1"/>
      </w:pPr>
      <w:r>
        <w:t xml:space="preserve">3. Baltimore-Area Local Funders</w:t>
      </w:r>
    </w:p>
    <w:p>
      <w:pPr>
        <w:spacing w:after="200"/>
      </w:pPr>
      <w:r>
        <w:rPr>
          <w:rFonts w:ascii="Arial" w:cs="Arial" w:eastAsia="Arial" w:hAnsi="Arial"/>
          <w:color w:val="374151"/>
          <w:sz w:val="22"/>
          <w:szCs w:val="22"/>
        </w:rPr>
        <w:t xml:space="preserve">These funders are based in or specifically target the Baltimore region. They tend to have smaller awards but shorter application processes, and many prioritize community-based organizations that serve low-income residents directly. Building relationships with these funders is essential for GAY’s long-term sustainability.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Baltimore City Community Grants Program</w:t>
            </w:r>
          </w:p>
          <w:p>
            <w:pPr>
              <w:spacing w:after="40"/>
            </w:pPr>
            <w:r>
              <w:rPr>
                <w:rFonts w:ascii="Arial" w:cs="Arial" w:eastAsia="Arial" w:hAnsi="Arial"/>
                <w:b/>
                <w:bCs/>
                <w:color w:val="2D6A4F"/>
                <w:sz w:val="20"/>
                <w:szCs w:val="20"/>
              </w:rPr>
              <w:t xml:space="preserve">Harry and Jeanette Weinberg Foundation (administered by Baltimore Community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Up to $10,000 per year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Rolling basis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Perfect Fit</w:t>
            </w:r>
          </w:p>
          <w:p>
            <w:pPr>
              <w:spacing w:after="60"/>
            </w:pPr>
            <w:r>
              <w:rPr>
                <w:rFonts w:ascii="Arial" w:cs="Arial" w:eastAsia="Arial" w:hAnsi="Arial"/>
                <w:color w:val="374151"/>
                <w:sz w:val="20"/>
                <w:szCs w:val="20"/>
              </w:rPr>
              <w:t xml:space="preserve">Specifically designed for small grassroots nonprofits with annual budgets under $500,000 that serve low-income Baltimore City residents. Covers operating, program, equipment, and capacity building. This is GAY’s easiest entry point into foundation funding. Streamlined application, rolling deadline. Since 2018, the program has awarded $682,500 across 88 grants. Several grantees have grown into larger Weinberg Foundation grants over time. Aligns with the foundation’s Education and Jobs focus areas.</w:t>
            </w:r>
          </w:p>
          <w:p>
            <w:pPr>
              <w:spacing w:after="40"/>
            </w:pPr>
            <w:r>
              <w:rPr>
                <w:rFonts w:ascii="Arial" w:cs="Arial" w:eastAsia="Arial" w:hAnsi="Arial"/>
                <w:color w:val="6B7280"/>
                <w:sz w:val="18"/>
                <w:szCs w:val="18"/>
              </w:rPr>
              <w:t xml:space="preserve">bcf.org/apply-for-grant/bccg/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Baltimore Summer Funding Collaborative (SFC)</w:t>
            </w:r>
          </w:p>
          <w:p>
            <w:pPr>
              <w:spacing w:after="40"/>
            </w:pPr>
            <w:r>
              <w:rPr>
                <w:rFonts w:ascii="Arial" w:cs="Arial" w:eastAsia="Arial" w:hAnsi="Arial"/>
                <w:b/>
                <w:bCs/>
                <w:color w:val="2D6A4F"/>
                <w:sz w:val="20"/>
                <w:szCs w:val="20"/>
              </w:rPr>
              <w:t xml:space="preserve">Coalition of 15+ funders including Abell, Annie E. Casey, Bloomberg Philanthropies, Weinberg, Goldseker</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Share of $4.2+ million pool; individual awards vary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Typically December for following summer; 2026 RFP deadline was December 3, 2025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Perfect Fit</w:t>
            </w:r>
          </w:p>
          <w:p>
            <w:pPr>
              <w:spacing w:after="60"/>
            </w:pPr>
            <w:r>
              <w:rPr>
                <w:rFonts w:ascii="Arial" w:cs="Arial" w:eastAsia="Arial" w:hAnsi="Arial"/>
                <w:color w:val="374151"/>
                <w:sz w:val="20"/>
                <w:szCs w:val="20"/>
              </w:rPr>
              <w:t xml:space="preserve">This is the single largest coordinated summer funding opportunity in Baltimore, supporting free programs for youth ages 0–24. In 2025, over 3,400 youth attended 75 programs. GAY’s Summer Youth Employment Program is a direct fit. The SFC specifically funds STEM, job training, college and career readiness, and environmental education. Apply for Summer 2027 when the next RFP opens (likely fall 2026). Administered by Baltimore’s Promise.</w:t>
            </w:r>
          </w:p>
          <w:p>
            <w:pPr>
              <w:spacing w:after="40"/>
            </w:pPr>
            <w:r>
              <w:rPr>
                <w:rFonts w:ascii="Arial" w:cs="Arial" w:eastAsia="Arial" w:hAnsi="Arial"/>
                <w:color w:val="6B7280"/>
                <w:sz w:val="18"/>
                <w:szCs w:val="18"/>
              </w:rPr>
              <w:t xml:space="preserve">baltimorespromise.org/summer-funding-collaborative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Baltimore Children &amp; Youth Fund (BCYF) Grants</w:t>
            </w:r>
          </w:p>
          <w:p>
            <w:pPr>
              <w:spacing w:after="40"/>
            </w:pPr>
            <w:r>
              <w:rPr>
                <w:rFonts w:ascii="Arial" w:cs="Arial" w:eastAsia="Arial" w:hAnsi="Arial"/>
                <w:b/>
                <w:bCs/>
                <w:color w:val="2D6A4F"/>
                <w:sz w:val="20"/>
                <w:szCs w:val="20"/>
              </w:rPr>
              <w:t xml:space="preserve">Baltimore Children &amp; Youth Fund</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awards range across program sizes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Periodic RFP cycles; check bcyfund.org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Perfect Fit</w:t>
            </w:r>
          </w:p>
          <w:p>
            <w:pPr>
              <w:spacing w:after="60"/>
            </w:pPr>
            <w:r>
              <w:rPr>
                <w:rFonts w:ascii="Arial" w:cs="Arial" w:eastAsia="Arial" w:hAnsi="Arial"/>
                <w:color w:val="374151"/>
                <w:sz w:val="20"/>
                <w:szCs w:val="20"/>
              </w:rPr>
              <w:t xml:space="preserve">BCYF is a nonprofit stewarding public funds to ensure youth are healthy, ready to succeed in school, and live in safe communities. Awards grants to organizations providing academic support, science exploration, career development, and more. GAY’s programming across STEM, food safety, and career skills aligns directly. BCYF also centers youth leadership and racial equity — a strong philosophical match.</w:t>
            </w:r>
          </w:p>
          <w:p>
            <w:pPr>
              <w:spacing w:after="40"/>
            </w:pPr>
            <w:r>
              <w:rPr>
                <w:rFonts w:ascii="Arial" w:cs="Arial" w:eastAsia="Arial" w:hAnsi="Arial"/>
                <w:color w:val="6B7280"/>
                <w:sz w:val="18"/>
                <w:szCs w:val="18"/>
              </w:rPr>
              <w:t xml:space="preserve">bcyfund.org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Baltimore Community Foundation — Mobilization and Neighborhood Grants</w:t>
            </w:r>
          </w:p>
          <w:p>
            <w:pPr>
              <w:spacing w:after="40"/>
            </w:pPr>
            <w:r>
              <w:rPr>
                <w:rFonts w:ascii="Arial" w:cs="Arial" w:eastAsia="Arial" w:hAnsi="Arial"/>
                <w:b/>
                <w:bCs/>
                <w:color w:val="2D6A4F"/>
                <w:sz w:val="20"/>
                <w:szCs w:val="20"/>
              </w:rPr>
              <w:t xml:space="preserve">Baltimore Community Foundation (BCF)</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Mobilization grants: small project funding; Neighborhood grants: up to $5,000+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Annual cycles; check bcf.org for current opportunities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BCF has a nearly 30-year history of funding community projects in Baltimore City and County. Their Stronger Neighborhoods grants, Legacy Forward grants ($250K pool for 2026), and other programs support grassroots organizations. BCF has also specifically funded urban agriculture — they’ve awarded $144,000 to the Farm Alliance of Baltimore since 2020. GAY should build a relationship with BCF’s program team.</w:t>
            </w:r>
          </w:p>
          <w:p>
            <w:pPr>
              <w:spacing w:after="40"/>
            </w:pPr>
            <w:r>
              <w:rPr>
                <w:rFonts w:ascii="Arial" w:cs="Arial" w:eastAsia="Arial" w:hAnsi="Arial"/>
                <w:color w:val="6B7280"/>
                <w:sz w:val="18"/>
                <w:szCs w:val="18"/>
              </w:rPr>
              <w:t xml:space="preserve">bcf.org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Abell Foundation Grants</w:t>
            </w:r>
          </w:p>
          <w:p>
            <w:pPr>
              <w:spacing w:after="40"/>
            </w:pPr>
            <w:r>
              <w:rPr>
                <w:rFonts w:ascii="Arial" w:cs="Arial" w:eastAsia="Arial" w:hAnsi="Arial"/>
                <w:b/>
                <w:bCs/>
                <w:color w:val="2D6A4F"/>
                <w:sz w:val="20"/>
                <w:szCs w:val="20"/>
              </w:rPr>
              <w:t xml:space="preserve">The Abell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typically $10,000–$250,000+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Letters of inquiry accepted on a rolling basis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One of Baltimore’s most influential funders, focused on improving quality of life in Maryland with emphasis on Baltimore City. Funds education, health, workforce development, and community development. Abell is already a Summer Funding Collaborative partner and has funded similar youth-serving organizations. Start with a letter of inquiry introducing GAY’s work.</w:t>
            </w:r>
          </w:p>
          <w:p>
            <w:pPr>
              <w:spacing w:after="40"/>
            </w:pPr>
            <w:r>
              <w:rPr>
                <w:rFonts w:ascii="Arial" w:cs="Arial" w:eastAsia="Arial" w:hAnsi="Arial"/>
                <w:color w:val="6B7280"/>
                <w:sz w:val="18"/>
                <w:szCs w:val="18"/>
              </w:rPr>
              <w:t xml:space="preserve">abell.org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France-Merrick Foundation Grants</w:t>
            </w:r>
          </w:p>
          <w:p>
            <w:pPr>
              <w:spacing w:after="40"/>
            </w:pPr>
            <w:r>
              <w:rPr>
                <w:rFonts w:ascii="Arial" w:cs="Arial" w:eastAsia="Arial" w:hAnsi="Arial"/>
                <w:b/>
                <w:bCs/>
                <w:color w:val="2D6A4F"/>
                <w:sz w:val="20"/>
                <w:szCs w:val="20"/>
              </w:rPr>
              <w:t xml:space="preserve">France-Merrick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favors one-time project requests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Application cycles; check francemerrickfdn.org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Concentrates grantmaking in Maryland, primarily Greater Baltimore. Favors one-time, project-oriented requests with defined beginnings and endings. A good fit for specific capital purchases (hydroponic equipment, program expansion) rather than ongoing operations.</w:t>
            </w:r>
          </w:p>
          <w:p>
            <w:pPr>
              <w:spacing w:after="40"/>
            </w:pPr>
            <w:r>
              <w:rPr>
                <w:rFonts w:ascii="Arial" w:cs="Arial" w:eastAsia="Arial" w:hAnsi="Arial"/>
                <w:color w:val="6B7280"/>
                <w:sz w:val="18"/>
                <w:szCs w:val="18"/>
              </w:rPr>
              <w:t xml:space="preserve">francemerrickfdn.org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Goldseker Foundation Grants</w:t>
            </w:r>
          </w:p>
          <w:p>
            <w:pPr>
              <w:spacing w:after="40"/>
            </w:pPr>
            <w:r>
              <w:rPr>
                <w:rFonts w:ascii="Arial" w:cs="Arial" w:eastAsia="Arial" w:hAnsi="Arial"/>
                <w:b/>
                <w:bCs/>
                <w:color w:val="2D6A4F"/>
                <w:sz w:val="20"/>
                <w:szCs w:val="20"/>
              </w:rPr>
              <w:t xml:space="preserve">The Goldseker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Check goldsekerfoundation.org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A Baltimore-focused foundation that invests in community development and workforce initiatives. Already a Summer Funding Collaborative partner. Funds projects that strengthen communities and create economic opportunity.</w:t>
            </w:r>
          </w:p>
          <w:p>
            <w:pPr>
              <w:spacing w:after="40"/>
            </w:pPr>
            <w:r>
              <w:rPr>
                <w:rFonts w:ascii="Arial" w:cs="Arial" w:eastAsia="Arial" w:hAnsi="Arial"/>
                <w:color w:val="6B7280"/>
                <w:sz w:val="18"/>
                <w:szCs w:val="18"/>
              </w:rPr>
              <w:t xml:space="preserve">goldsekerfoundation.org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Knott Foundation Grants</w:t>
            </w:r>
          </w:p>
          <w:p>
            <w:pPr>
              <w:spacing w:after="40"/>
            </w:pPr>
            <w:r>
              <w:rPr>
                <w:rFonts w:ascii="Arial" w:cs="Arial" w:eastAsia="Arial" w:hAnsi="Arial"/>
                <w:b/>
                <w:bCs/>
                <w:color w:val="2D6A4F"/>
                <w:sz w:val="20"/>
                <w:szCs w:val="20"/>
              </w:rPr>
              <w:t xml:space="preserve">Marion I. &amp; Henry J. Knott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also offers cash flow loans/PRIs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Letter of inquiry deadline: check knottfoundation.org (recent cycle was February 2, 2026)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Catholic family foundation strengthening communities in central and western Maryland. Funds education, health care, human services, and arts/humanities. GAY’s education and youth development work aligns with their human services and education priorities.</w:t>
            </w:r>
          </w:p>
          <w:p>
            <w:pPr>
              <w:spacing w:after="40"/>
            </w:pPr>
            <w:r>
              <w:rPr>
                <w:rFonts w:ascii="Arial" w:cs="Arial" w:eastAsia="Arial" w:hAnsi="Arial"/>
                <w:color w:val="6B7280"/>
                <w:sz w:val="18"/>
                <w:szCs w:val="18"/>
              </w:rPr>
              <w:t xml:space="preserve">knottfoundation.org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Henry and Ruth Blaustein Rosenberg Foundation</w:t>
            </w:r>
          </w:p>
          <w:p>
            <w:pPr>
              <w:spacing w:after="40"/>
            </w:pPr>
            <w:r>
              <w:rPr>
                <w:rFonts w:ascii="Arial" w:cs="Arial" w:eastAsia="Arial" w:hAnsi="Arial"/>
                <w:b/>
                <w:bCs/>
                <w:color w:val="2D6A4F"/>
                <w:sz w:val="20"/>
                <w:szCs w:val="20"/>
              </w:rPr>
              <w:t xml:space="preserve">The Blaustein Rosenberg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Check foundation website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Established in 1959, focused primarily on Baltimore. Awards grants in three areas: Arts and Culture, Youth Development, and Adult Self-Sufficiency. The Youth Development focus makes this a direct match for GAY. Supports programs and general operations.</w:t>
            </w:r>
          </w:p>
          <w:p>
            <w:pPr>
              <w:spacing w:after="40"/>
            </w:pPr>
            <w:r>
              <w:rPr>
                <w:rFonts w:ascii="Arial" w:cs="Arial" w:eastAsia="Arial" w:hAnsi="Arial"/>
                <w:color w:val="6B7280"/>
                <w:sz w:val="18"/>
                <w:szCs w:val="18"/>
              </w:rPr>
              <w:t xml:space="preserve">blaufund.org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United Way of Central Maryland — United for Good Nonprofit Resiliency Grant</w:t>
            </w:r>
          </w:p>
          <w:p>
            <w:pPr>
              <w:spacing w:after="40"/>
            </w:pPr>
            <w:r>
              <w:rPr>
                <w:rFonts w:ascii="Arial" w:cs="Arial" w:eastAsia="Arial" w:hAnsi="Arial"/>
                <w:b/>
                <w:bCs/>
                <w:color w:val="2D6A4F"/>
                <w:sz w:val="20"/>
                <w:szCs w:val="20"/>
              </w:rPr>
              <w:t xml:space="preserve">United Way of Central Maryland</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$2,500 to $25,000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Check uwcm.org for current cycle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For 501(c)(3) organizations with operating budgets under $5 million that support basic needs of Central Maryland families. Funding for organizations facing urgent challenges. GAY’s work with low-income families and youth in Baltimore City qualifies.</w:t>
            </w:r>
          </w:p>
          <w:p>
            <w:pPr>
              <w:spacing w:after="40"/>
            </w:pPr>
            <w:r>
              <w:rPr>
                <w:rFonts w:ascii="Arial" w:cs="Arial" w:eastAsia="Arial" w:hAnsi="Arial"/>
                <w:color w:val="6B7280"/>
                <w:sz w:val="18"/>
                <w:szCs w:val="18"/>
              </w:rPr>
              <w:t xml:space="preserve">uwcm.org/grants-funding-opportunities/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South Baltimore Gateway Partnership Community Grants</w:t>
            </w:r>
          </w:p>
          <w:p>
            <w:pPr>
              <w:spacing w:after="40"/>
            </w:pPr>
            <w:r>
              <w:rPr>
                <w:rFonts w:ascii="Arial" w:cs="Arial" w:eastAsia="Arial" w:hAnsi="Arial"/>
                <w:b/>
                <w:bCs/>
                <w:color w:val="2D6A4F"/>
                <w:sz w:val="20"/>
                <w:szCs w:val="20"/>
              </w:rPr>
              <w:t xml:space="preserve">South Baltimore Gateway Partnership (funded by Maryland casino local impact grants)</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part of $688,000+ annual pool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Typically winter; check sbgpartnership.org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 (location-dependent)</w:t>
            </w:r>
          </w:p>
          <w:p>
            <w:pPr>
              <w:spacing w:after="60"/>
            </w:pPr>
            <w:r>
              <w:rPr>
                <w:rFonts w:ascii="Arial" w:cs="Arial" w:eastAsia="Arial" w:hAnsi="Arial"/>
                <w:color w:val="374151"/>
                <w:sz w:val="20"/>
                <w:szCs w:val="20"/>
              </w:rPr>
              <w:t xml:space="preserve">Funds programs and projects across South and Southwest Baltimore. If GAY operates or serves youth in these neighborhoods, this is a viable funding source. The partnership has invested approximately $45.6 million in community projects since 2016.</w:t>
            </w:r>
          </w:p>
          <w:p>
            <w:pPr>
              <w:spacing w:after="40"/>
            </w:pPr>
            <w:r>
              <w:rPr>
                <w:rFonts w:ascii="Arial" w:cs="Arial" w:eastAsia="Arial" w:hAnsi="Arial"/>
                <w:color w:val="6B7280"/>
                <w:sz w:val="18"/>
                <w:szCs w:val="18"/>
              </w:rPr>
              <w:t xml:space="preserve">sbgpartnership.org/community-grants/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Family League of Baltimore — Funded Partnerships</w:t>
            </w:r>
          </w:p>
          <w:p>
            <w:pPr>
              <w:spacing w:after="40"/>
            </w:pPr>
            <w:r>
              <w:rPr>
                <w:rFonts w:ascii="Arial" w:cs="Arial" w:eastAsia="Arial" w:hAnsi="Arial"/>
                <w:b/>
                <w:bCs/>
                <w:color w:val="2D6A4F"/>
                <w:sz w:val="20"/>
                <w:szCs w:val="20"/>
              </w:rPr>
              <w:t xml:space="preserve">Family League of Baltimore</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by program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Watch familyleague.org for RFAs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Family League connects funders with community organizations serving Baltimore youth and families. They administer out-of-school-time programs, youth employment initiatives, and family support services. While no current RFA is open, GAY should register as a prospective partner and monitor for upcoming opportunities. Previous funded partners include organizations with similar youth-focused missions.</w:t>
            </w:r>
          </w:p>
          <w:p>
            <w:pPr>
              <w:spacing w:after="40"/>
            </w:pPr>
            <w:r>
              <w:rPr>
                <w:rFonts w:ascii="Arial" w:cs="Arial" w:eastAsia="Arial" w:hAnsi="Arial"/>
                <w:color w:val="6B7280"/>
                <w:sz w:val="18"/>
                <w:szCs w:val="18"/>
              </w:rPr>
              <w:t xml:space="preserve">familyleague.org/funding-opportunities/</w:t>
            </w:r>
          </w:p>
        </w:tc>
      </w:tr>
    </w:tbl>
    <w:p>
      <w:pPr>
        <w:pBdr>
          <w:bottom w:val="single" w:color="52B788" w:sz="2" w:space="1"/>
        </w:pBdr>
        <w:spacing w:before="200" w:after="200"/>
      </w:pPr>
    </w:p>
    <w:p>
      <w:pPr>
        <w:pStyle w:val="Heading1"/>
      </w:pPr>
      <w:r>
        <w:t xml:space="preserve">4. Private &amp; National Foundations</w:t>
      </w:r>
    </w:p>
    <w:p>
      <w:pPr>
        <w:spacing w:after="200"/>
      </w:pPr>
      <w:r>
        <w:rPr>
          <w:rFonts w:ascii="Arial" w:cs="Arial" w:eastAsia="Arial" w:hAnsi="Arial"/>
          <w:color w:val="374151"/>
          <w:sz w:val="22"/>
          <w:szCs w:val="22"/>
        </w:rPr>
        <w:t xml:space="preserve">These foundations operate nationally but have strong interest areas that align with GAY’s mission. Most require a demonstrated track record and clean financials.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Annie E. Casey Foundation Grants</w:t>
            </w:r>
          </w:p>
          <w:p>
            <w:pPr>
              <w:spacing w:after="40"/>
            </w:pPr>
            <w:r>
              <w:rPr>
                <w:rFonts w:ascii="Arial" w:cs="Arial" w:eastAsia="Arial" w:hAnsi="Arial"/>
                <w:b/>
                <w:bCs/>
                <w:color w:val="2D6A4F"/>
                <w:sz w:val="20"/>
                <w:szCs w:val="20"/>
              </w:rPr>
              <w:t xml:space="preserve">The Annie E. Casey Foundation (headquartered in Baltimore)</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significant multi-year investments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Primarily invitation-based; build relationship through local engagement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Perfect Fit</w:t>
            </w:r>
          </w:p>
          <w:p>
            <w:pPr>
              <w:spacing w:after="60"/>
            </w:pPr>
            <w:r>
              <w:rPr>
                <w:rFonts w:ascii="Arial" w:cs="Arial" w:eastAsia="Arial" w:hAnsi="Arial"/>
                <w:color w:val="374151"/>
                <w:sz w:val="20"/>
                <w:szCs w:val="20"/>
              </w:rPr>
              <w:t xml:space="preserve">Headquartered in Baltimore and focused on improving outcomes for disadvantaged children and youth. One of the most influential youth-serving foundations in the country. Already a Summer Funding Collaborative partner. While many grants are invitation-based, the foundation actively engages with Baltimore nonprofits. GAY should participate in AECF-sponsored events and convenings and pursue a relationship with their Baltimore-based program team.</w:t>
            </w:r>
          </w:p>
          <w:p>
            <w:pPr>
              <w:spacing w:after="40"/>
            </w:pPr>
            <w:r>
              <w:rPr>
                <w:rFonts w:ascii="Arial" w:cs="Arial" w:eastAsia="Arial" w:hAnsi="Arial"/>
                <w:color w:val="6B7280"/>
                <w:sz w:val="18"/>
                <w:szCs w:val="18"/>
              </w:rPr>
              <w:t xml:space="preserve">aecf.org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Kahlert Foundation Grants</w:t>
            </w:r>
          </w:p>
          <w:p>
            <w:pPr>
              <w:spacing w:after="40"/>
            </w:pPr>
            <w:r>
              <w:rPr>
                <w:rFonts w:ascii="Arial" w:cs="Arial" w:eastAsia="Arial" w:hAnsi="Arial"/>
                <w:b/>
                <w:bCs/>
                <w:color w:val="2D6A4F"/>
                <w:sz w:val="20"/>
                <w:szCs w:val="20"/>
              </w:rPr>
              <w:t xml:space="preserve">The Kahlert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Check foundation website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Provides grants in Maryland (and Utah) across five areas: health care, education, youth programs, veteran organizations, and human services. Particularly interested in grants that impact multiple areas simultaneously. GAY’s blend of youth programs, education, and health/nutrition is the kind of cross-cutting work they favor.</w:t>
            </w:r>
          </w:p>
          <w:p>
            <w:pPr>
              <w:spacing w:after="40"/>
            </w:pPr>
            <w:r>
              <w:rPr>
                <w:rFonts w:ascii="Arial" w:cs="Arial" w:eastAsia="Arial" w:hAnsi="Arial"/>
                <w:color w:val="6B7280"/>
                <w:sz w:val="18"/>
                <w:szCs w:val="18"/>
              </w:rPr>
              <w:t xml:space="preserve">kahlertfoundation.org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Comis Foundation Grants</w:t>
            </w:r>
          </w:p>
          <w:p>
            <w:pPr>
              <w:spacing w:after="40"/>
            </w:pPr>
            <w:r>
              <w:rPr>
                <w:rFonts w:ascii="Arial" w:cs="Arial" w:eastAsia="Arial" w:hAnsi="Arial"/>
                <w:b/>
                <w:bCs/>
                <w:color w:val="2D6A4F"/>
                <w:sz w:val="20"/>
                <w:szCs w:val="20"/>
              </w:rPr>
              <w:t xml:space="preserve">Comis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Check foundation website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Mission: every child has access to opportunities to not only succeed in life, but to thrive. Invests in organizations that equip children with skills to explore, learn, and thrive. GAY’s STEM and career development programming aligns well.</w:t>
            </w:r>
          </w:p>
          <w:p>
            <w:pPr>
              <w:spacing w:after="40"/>
            </w:pPr>
            <w:r>
              <w:rPr>
                <w:rFonts w:ascii="Arial" w:cs="Arial" w:eastAsia="Arial" w:hAnsi="Arial"/>
                <w:color w:val="6B7280"/>
                <w:sz w:val="18"/>
                <w:szCs w:val="18"/>
              </w:rPr>
              <w:t xml:space="preserve">comisfoundation.org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Google.org Impact Challenge / Grants</w:t>
            </w:r>
          </w:p>
          <w:p>
            <w:pPr>
              <w:spacing w:after="40"/>
            </w:pPr>
            <w:r>
              <w:rPr>
                <w:rFonts w:ascii="Arial" w:cs="Arial" w:eastAsia="Arial" w:hAnsi="Arial"/>
                <w:b/>
                <w:bCs/>
                <w:color w:val="2D6A4F"/>
                <w:sz w:val="20"/>
                <w:szCs w:val="20"/>
              </w:rPr>
              <w:t xml:space="preserve">Google.org</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typically $50,000–$500,000+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Periodic challenge rounds and direct grants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Funds STEM education, economic opportunity, and food systems innovation. If GAY adds digital/tech components to its programming (app development, data science through grow tracking, digital media production), this becomes a stronger fit. Google.org also provides in-kind technology support.</w:t>
            </w:r>
          </w:p>
          <w:p>
            <w:pPr>
              <w:spacing w:after="40"/>
            </w:pPr>
            <w:r>
              <w:rPr>
                <w:rFonts w:ascii="Arial" w:cs="Arial" w:eastAsia="Arial" w:hAnsi="Arial"/>
                <w:color w:val="6B7280"/>
                <w:sz w:val="18"/>
                <w:szCs w:val="18"/>
              </w:rPr>
              <w:t xml:space="preserve">google.org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Microsoft Philanthropies TEALS and Education Grants</w:t>
            </w:r>
          </w:p>
          <w:p>
            <w:pPr>
              <w:spacing w:after="40"/>
            </w:pPr>
            <w:r>
              <w:rPr>
                <w:rFonts w:ascii="Arial" w:cs="Arial" w:eastAsia="Arial" w:hAnsi="Arial"/>
                <w:b/>
                <w:bCs/>
                <w:color w:val="2D6A4F"/>
                <w:sz w:val="20"/>
                <w:szCs w:val="20"/>
              </w:rPr>
              <w:t xml:space="preserve">Microsoft Philanthropies</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primarily in-kind and program support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Ongoing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Moderate Fit</w:t>
            </w:r>
          </w:p>
          <w:p>
            <w:pPr>
              <w:spacing w:after="60"/>
            </w:pPr>
            <w:r>
              <w:rPr>
                <w:rFonts w:ascii="Arial" w:cs="Arial" w:eastAsia="Arial" w:hAnsi="Arial"/>
                <w:color w:val="374151"/>
                <w:sz w:val="20"/>
                <w:szCs w:val="20"/>
              </w:rPr>
              <w:t xml:space="preserve">Funds and supports technology education for underserved youth. If GAY integrates technology components (data tracking, coding, digital media) into its STEM curriculum, Microsoft’s education programs become relevant.</w:t>
            </w:r>
          </w:p>
          <w:p>
            <w:pPr>
              <w:spacing w:after="40"/>
            </w:pPr>
            <w:r>
              <w:rPr>
                <w:rFonts w:ascii="Arial" w:cs="Arial" w:eastAsia="Arial" w:hAnsi="Arial"/>
                <w:color w:val="6B7280"/>
                <w:sz w:val="18"/>
                <w:szCs w:val="18"/>
              </w:rPr>
              <w:t xml:space="preserve">microsoft.com/en-us/philanthropies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Chipotle Cultivate Foundation</w:t>
            </w:r>
          </w:p>
          <w:p>
            <w:pPr>
              <w:spacing w:after="40"/>
            </w:pPr>
            <w:r>
              <w:rPr>
                <w:rFonts w:ascii="Arial" w:cs="Arial" w:eastAsia="Arial" w:hAnsi="Arial"/>
                <w:b/>
                <w:bCs/>
                <w:color w:val="2D6A4F"/>
                <w:sz w:val="20"/>
                <w:szCs w:val="20"/>
              </w:rPr>
              <w:t xml:space="preserve">Chipotle Mexican Grill Foundation</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Varies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Check chipotle.com/cultivate-foundation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Supports organizations advancing sustainable agriculture, food access, and culinary education. GAY’s hydroponics, food safety certification, and nutrition education directly align. Chipotle has previously funded youth agricultural education programs.</w:t>
            </w:r>
          </w:p>
          <w:p>
            <w:pPr>
              <w:spacing w:after="40"/>
            </w:pPr>
            <w:r>
              <w:rPr>
                <w:rFonts w:ascii="Arial" w:cs="Arial" w:eastAsia="Arial" w:hAnsi="Arial"/>
                <w:color w:val="6B7280"/>
                <w:sz w:val="18"/>
                <w:szCs w:val="18"/>
              </w:rPr>
              <w:t xml:space="preserve">chipotle.com/cultivate-foundation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4F" w:sz="12"/>
              <w:bottom w:val="single" w:color="E5E7EB" w:sz="1"/>
              <w:right w:val="single" w:color="E5E7EB" w:sz="1"/>
            </w:tcBorders>
            <w:shd w:fill="FAFAFA" w:val="clear"/>
            <w:tcMar>
              <w:top w:type="dxa" w:w="120"/>
              <w:left w:type="dxa" w:w="200"/>
              <w:bottom w:type="dxa" w:w="120"/>
              <w:right w:type="dxa" w:w="200"/>
            </w:tcMar>
          </w:tcPr>
          <w:p>
            <w:pPr>
              <w:spacing w:after="60"/>
            </w:pPr>
            <w:r>
              <w:rPr>
                <w:rFonts w:ascii="Arial" w:cs="Arial" w:eastAsia="Arial" w:hAnsi="Arial"/>
                <w:b/>
                <w:bCs/>
                <w:color w:val="1B4332"/>
                <w:sz w:val="24"/>
                <w:szCs w:val="24"/>
              </w:rPr>
              <w:t xml:space="preserve">Whole Kids Foundation Garden Grants</w:t>
            </w:r>
          </w:p>
          <w:p>
            <w:pPr>
              <w:spacing w:after="40"/>
            </w:pPr>
            <w:r>
              <w:rPr>
                <w:rFonts w:ascii="Arial" w:cs="Arial" w:eastAsia="Arial" w:hAnsi="Arial"/>
                <w:b/>
                <w:bCs/>
                <w:color w:val="2D6A4F"/>
                <w:sz w:val="20"/>
                <w:szCs w:val="20"/>
              </w:rPr>
              <w:t xml:space="preserve">Whole Kids Foundation (affiliated with Whole Foods Market)</w:t>
            </w:r>
          </w:p>
          <w:p>
            <w:pPr>
              <w:spacing w:after="60"/>
            </w:pPr>
            <w:r>
              <w:rPr>
                <w:rFonts w:ascii="Arial" w:cs="Arial" w:eastAsia="Arial" w:hAnsi="Arial"/>
                <w:b/>
                <w:bCs/>
                <w:color w:val="374151"/>
                <w:sz w:val="20"/>
                <w:szCs w:val="20"/>
              </w:rPr>
              <w:t xml:space="preserve">Amount: </w:t>
            </w:r>
            <w:r>
              <w:rPr>
                <w:rFonts w:ascii="Arial" w:cs="Arial" w:eastAsia="Arial" w:hAnsi="Arial"/>
                <w:color w:val="374151"/>
                <w:sz w:val="20"/>
                <w:szCs w:val="20"/>
              </w:rPr>
              <w:t xml:space="preserve">$2,000 for school/youth gardens     </w:t>
            </w:r>
            <w:r>
              <w:rPr>
                <w:rFonts w:ascii="Arial" w:cs="Arial" w:eastAsia="Arial" w:hAnsi="Arial"/>
                <w:b/>
                <w:bCs/>
                <w:color w:val="374151"/>
                <w:sz w:val="20"/>
                <w:szCs w:val="20"/>
              </w:rPr>
              <w:t xml:space="preserve">Deadline: </w:t>
            </w:r>
            <w:r>
              <w:rPr>
                <w:rFonts w:ascii="Arial" w:cs="Arial" w:eastAsia="Arial" w:hAnsi="Arial"/>
                <w:color w:val="374151"/>
                <w:sz w:val="20"/>
                <w:szCs w:val="20"/>
              </w:rPr>
              <w:t xml:space="preserve">Annual cycle; typically opens in fall     </w:t>
            </w:r>
            <w:r>
              <w:rPr>
                <w:rFonts w:ascii="Arial" w:cs="Arial" w:eastAsia="Arial" w:hAnsi="Arial"/>
                <w:b/>
                <w:bCs/>
                <w:color w:val="2D6A4F"/>
                <w:sz w:val="20"/>
                <w:szCs w:val="20"/>
              </w:rPr>
              <w:t xml:space="preserve">Fit: </w:t>
            </w:r>
            <w:r>
              <w:rPr>
                <w:rFonts w:ascii="Arial" w:cs="Arial" w:eastAsia="Arial" w:hAnsi="Arial"/>
                <w:color w:val="2D6A4F"/>
                <w:sz w:val="20"/>
                <w:szCs w:val="20"/>
              </w:rPr>
              <w:t xml:space="preserve">★★★★ Strong Fit</w:t>
            </w:r>
          </w:p>
          <w:p>
            <w:pPr>
              <w:spacing w:after="60"/>
            </w:pPr>
            <w:r>
              <w:rPr>
                <w:rFonts w:ascii="Arial" w:cs="Arial" w:eastAsia="Arial" w:hAnsi="Arial"/>
                <w:color w:val="374151"/>
                <w:sz w:val="20"/>
                <w:szCs w:val="20"/>
              </w:rPr>
              <w:t xml:space="preserve">Funds edible educational gardens at schools and nonprofits. GAY’s hydroponic education program is a natural fit. While the individual grant is small ($2,000), it’s an easy application and can lead to deeper relationships with Whole Foods Market for produce partnerships, volunteer events, and cause marketing campaigns.</w:t>
            </w:r>
          </w:p>
          <w:p>
            <w:pPr>
              <w:spacing w:after="40"/>
            </w:pPr>
            <w:r>
              <w:rPr>
                <w:rFonts w:ascii="Arial" w:cs="Arial" w:eastAsia="Arial" w:hAnsi="Arial"/>
                <w:color w:val="6B7280"/>
                <w:sz w:val="18"/>
                <w:szCs w:val="18"/>
              </w:rPr>
              <w:t xml:space="preserve">wholekidsfoundation.org</w:t>
            </w:r>
          </w:p>
        </w:tc>
      </w:tr>
    </w:tbl>
    <w:p>
      <w:pPr>
        <w:pBdr>
          <w:bottom w:val="single" w:color="52B788" w:sz="2" w:space="1"/>
        </w:pBdr>
        <w:spacing w:before="200" w:after="200"/>
      </w:pPr>
    </w:p>
    <w:p>
      <w:pPr>
        <w:pStyle w:val="Heading1"/>
      </w:pPr>
      <w:r>
        <w:t xml:space="preserve">5. Application Strategy &amp; Priorities</w:t>
      </w:r>
    </w:p>
    <w:p>
      <w:pPr>
        <w:spacing w:after="200"/>
      </w:pPr>
      <w:r>
        <w:rPr>
          <w:rFonts w:ascii="Arial" w:cs="Arial" w:eastAsia="Arial" w:hAnsi="Arial"/>
          <w:color w:val="374151"/>
          <w:sz w:val="22"/>
          <w:szCs w:val="22"/>
        </w:rPr>
        <w:t xml:space="preserve">Not every grant is worth the application effort at every stage of organizational growth. Here is a prioritized approach based on GAY’s current size and capacity:</w:t>
      </w:r>
    </w:p>
    <w:p>
      <w:pPr>
        <w:pStyle w:val="Heading2"/>
      </w:pPr>
      <w:r>
        <w:t xml:space="preserve">Immediate Priority (Apply Now)</w:t>
      </w:r>
    </w:p>
    <w:p>
      <w:pPr>
        <w:pStyle w:val="ListParagraph"/>
        <w:numPr>
          <w:ilvl w:val="0"/>
          <w:numId w:val="2"/>
        </w:numPr>
        <w:spacing w:after="100"/>
      </w:pPr>
      <w:r>
        <w:rPr>
          <w:rFonts w:ascii="Arial" w:cs="Arial" w:eastAsia="Arial" w:hAnsi="Arial"/>
          <w:b/>
          <w:bCs/>
          <w:sz w:val="22"/>
          <w:szCs w:val="22"/>
        </w:rPr>
        <w:t xml:space="preserve">Baltimore City Community Grants Program (Weinberg/BCF): </w:t>
      </w:r>
      <w:r>
        <w:rPr>
          <w:rFonts w:ascii="Arial" w:cs="Arial" w:eastAsia="Arial" w:hAnsi="Arial"/>
          <w:sz w:val="22"/>
          <w:szCs w:val="22"/>
        </w:rPr>
        <w:t xml:space="preserve">Rolling deadline, streamlined application, designed for small grassroots nonprofits. This is the first grant GAY should apply for if it hasn’t already.</w:t>
      </w:r>
    </w:p>
    <w:p>
      <w:pPr>
        <w:pStyle w:val="ListParagraph"/>
        <w:numPr>
          <w:ilvl w:val="0"/>
          <w:numId w:val="2"/>
        </w:numPr>
        <w:spacing w:after="100"/>
      </w:pPr>
      <w:r>
        <w:rPr>
          <w:rFonts w:ascii="Arial" w:cs="Arial" w:eastAsia="Arial" w:hAnsi="Arial"/>
          <w:b/>
          <w:bCs/>
          <w:sz w:val="22"/>
          <w:szCs w:val="22"/>
        </w:rPr>
        <w:t xml:space="preserve">United Way Nonprofit Resiliency Grant: </w:t>
      </w:r>
      <w:r>
        <w:rPr>
          <w:rFonts w:ascii="Arial" w:cs="Arial" w:eastAsia="Arial" w:hAnsi="Arial"/>
          <w:sz w:val="22"/>
          <w:szCs w:val="22"/>
        </w:rPr>
        <w:t xml:space="preserve">Accessible amount ($2,500–$25,000), broad eligibility, and supports basic organizational needs.</w:t>
      </w:r>
    </w:p>
    <w:p>
      <w:pPr>
        <w:pStyle w:val="ListParagraph"/>
        <w:numPr>
          <w:ilvl w:val="0"/>
          <w:numId w:val="2"/>
        </w:numPr>
        <w:spacing w:after="100"/>
      </w:pPr>
      <w:r>
        <w:rPr>
          <w:rFonts w:ascii="Arial" w:cs="Arial" w:eastAsia="Arial" w:hAnsi="Arial"/>
          <w:b/>
          <w:bCs/>
          <w:sz w:val="22"/>
          <w:szCs w:val="22"/>
        </w:rPr>
        <w:t xml:space="preserve">Maryland Urban Agriculture Water &amp; Power Grants: </w:t>
      </w:r>
      <w:r>
        <w:rPr>
          <w:rFonts w:ascii="Arial" w:cs="Arial" w:eastAsia="Arial" w:hAnsi="Arial"/>
          <w:sz w:val="22"/>
          <w:szCs w:val="22"/>
        </w:rPr>
        <w:t xml:space="preserve">Rolling deadline, directly funds hydroponic infrastructure. Apply immediately if GAY has growing facilities.</w:t>
      </w:r>
    </w:p>
    <w:p>
      <w:pPr>
        <w:pStyle w:val="ListParagraph"/>
        <w:numPr>
          <w:ilvl w:val="0"/>
          <w:numId w:val="2"/>
        </w:numPr>
        <w:spacing w:after="100"/>
      </w:pPr>
      <w:r>
        <w:rPr>
          <w:rFonts w:ascii="Arial" w:cs="Arial" w:eastAsia="Arial" w:hAnsi="Arial"/>
          <w:b/>
          <w:bCs/>
          <w:sz w:val="22"/>
          <w:szCs w:val="22"/>
        </w:rPr>
        <w:t xml:space="preserve">Whole Kids Foundation Garden Grant: </w:t>
      </w:r>
      <w:r>
        <w:rPr>
          <w:rFonts w:ascii="Arial" w:cs="Arial" w:eastAsia="Arial" w:hAnsi="Arial"/>
          <w:sz w:val="22"/>
          <w:szCs w:val="22"/>
        </w:rPr>
        <w:t xml:space="preserve">Small but simple application. Good relationship-builder.</w:t>
      </w:r>
    </w:p>
    <w:p>
      <w:pPr>
        <w:pStyle w:val="Heading2"/>
      </w:pPr>
      <w:r>
        <w:t xml:space="preserve">Near-Term Priority (Next 3–6 Months)</w:t>
      </w:r>
    </w:p>
    <w:p>
      <w:pPr>
        <w:pStyle w:val="ListParagraph"/>
        <w:numPr>
          <w:ilvl w:val="0"/>
          <w:numId w:val="2"/>
        </w:numPr>
        <w:spacing w:after="100"/>
      </w:pPr>
      <w:r>
        <w:rPr>
          <w:rFonts w:ascii="Arial" w:cs="Arial" w:eastAsia="Arial" w:hAnsi="Arial"/>
          <w:b/>
          <w:bCs/>
          <w:sz w:val="22"/>
          <w:szCs w:val="22"/>
        </w:rPr>
        <w:t xml:space="preserve">BCYF Grants: </w:t>
      </w:r>
      <w:r>
        <w:rPr>
          <w:rFonts w:ascii="Arial" w:cs="Arial" w:eastAsia="Arial" w:hAnsi="Arial"/>
          <w:sz w:val="22"/>
          <w:szCs w:val="22"/>
        </w:rPr>
        <w:t xml:space="preserve">Monitor for next RFP cycle and prepare program data and outcome metrics in advance.</w:t>
      </w:r>
    </w:p>
    <w:p>
      <w:pPr>
        <w:pStyle w:val="ListParagraph"/>
        <w:numPr>
          <w:ilvl w:val="0"/>
          <w:numId w:val="2"/>
        </w:numPr>
        <w:spacing w:after="100"/>
      </w:pPr>
      <w:r>
        <w:rPr>
          <w:rFonts w:ascii="Arial" w:cs="Arial" w:eastAsia="Arial" w:hAnsi="Arial"/>
          <w:b/>
          <w:bCs/>
          <w:sz w:val="22"/>
          <w:szCs w:val="22"/>
        </w:rPr>
        <w:t xml:space="preserve">Abell Foundation letter of inquiry: </w:t>
      </w:r>
      <w:r>
        <w:rPr>
          <w:rFonts w:ascii="Arial" w:cs="Arial" w:eastAsia="Arial" w:hAnsi="Arial"/>
          <w:sz w:val="22"/>
          <w:szCs w:val="22"/>
        </w:rPr>
        <w:t xml:space="preserve">Introduce GAY to one of Baltimore’s most influential funders. A strong LOI is worth the investment.</w:t>
      </w:r>
    </w:p>
    <w:p>
      <w:pPr>
        <w:pStyle w:val="ListParagraph"/>
        <w:numPr>
          <w:ilvl w:val="0"/>
          <w:numId w:val="2"/>
        </w:numPr>
        <w:spacing w:after="100"/>
      </w:pPr>
      <w:r>
        <w:rPr>
          <w:rFonts w:ascii="Arial" w:cs="Arial" w:eastAsia="Arial" w:hAnsi="Arial"/>
          <w:b/>
          <w:bCs/>
          <w:sz w:val="22"/>
          <w:szCs w:val="22"/>
        </w:rPr>
        <w:t xml:space="preserve">Baltimore Summer Funding Collaborative: </w:t>
      </w:r>
      <w:r>
        <w:rPr>
          <w:rFonts w:ascii="Arial" w:cs="Arial" w:eastAsia="Arial" w:hAnsi="Arial"/>
          <w:sz w:val="22"/>
          <w:szCs w:val="22"/>
        </w:rPr>
        <w:t xml:space="preserve">Prepare application materials now for the fall 2026 cycle (for Summer 2027). This is a major funding opportunity.</w:t>
      </w:r>
    </w:p>
    <w:p>
      <w:pPr>
        <w:pStyle w:val="ListParagraph"/>
        <w:numPr>
          <w:ilvl w:val="0"/>
          <w:numId w:val="2"/>
        </w:numPr>
        <w:spacing w:after="100"/>
      </w:pPr>
      <w:r>
        <w:rPr>
          <w:rFonts w:ascii="Arial" w:cs="Arial" w:eastAsia="Arial" w:hAnsi="Arial"/>
          <w:b/>
          <w:bCs/>
          <w:sz w:val="22"/>
          <w:szCs w:val="22"/>
        </w:rPr>
        <w:t xml:space="preserve">Weinberg Small Grants Program: </w:t>
      </w:r>
      <w:r>
        <w:rPr>
          <w:rFonts w:ascii="Arial" w:cs="Arial" w:eastAsia="Arial" w:hAnsi="Arial"/>
          <w:sz w:val="22"/>
          <w:szCs w:val="22"/>
        </w:rPr>
        <w:t xml:space="preserve">Larger amounts than the Community Grants. Requires two years of 990s and audited financials.</w:t>
      </w:r>
    </w:p>
    <w:p>
      <w:pPr>
        <w:pStyle w:val="Heading2"/>
      </w:pPr>
      <w:r>
        <w:t xml:space="preserve">Growth Stage (6–12 Months)</w:t>
      </w:r>
    </w:p>
    <w:p>
      <w:pPr>
        <w:pStyle w:val="ListParagraph"/>
        <w:numPr>
          <w:ilvl w:val="0"/>
          <w:numId w:val="2"/>
        </w:numPr>
        <w:spacing w:after="100"/>
      </w:pPr>
      <w:r>
        <w:rPr>
          <w:rFonts w:ascii="Arial" w:cs="Arial" w:eastAsia="Arial" w:hAnsi="Arial"/>
          <w:b/>
          <w:bCs/>
          <w:sz w:val="22"/>
          <w:szCs w:val="22"/>
        </w:rPr>
        <w:t xml:space="preserve">USDA UAIP Grants: </w:t>
      </w:r>
      <w:r>
        <w:rPr>
          <w:rFonts w:ascii="Arial" w:cs="Arial" w:eastAsia="Arial" w:hAnsi="Arial"/>
          <w:sz w:val="22"/>
          <w:szCs w:val="22"/>
        </w:rPr>
        <w:t xml:space="preserve">The highest-impact federal opportunity. Requires strong application with documented outcomes, clear budget, and evidence-based program design. Consider partnering with UMD Extension or Morgan State for a stronger application.</w:t>
      </w:r>
    </w:p>
    <w:p>
      <w:pPr>
        <w:pStyle w:val="ListParagraph"/>
        <w:numPr>
          <w:ilvl w:val="0"/>
          <w:numId w:val="2"/>
        </w:numPr>
        <w:spacing w:after="100"/>
      </w:pPr>
      <w:r>
        <w:rPr>
          <w:rFonts w:ascii="Arial" w:cs="Arial" w:eastAsia="Arial" w:hAnsi="Arial"/>
          <w:b/>
          <w:bCs/>
          <w:sz w:val="22"/>
          <w:szCs w:val="22"/>
        </w:rPr>
        <w:t xml:space="preserve">Annie E. Casey Foundation: </w:t>
      </w:r>
      <w:r>
        <w:rPr>
          <w:rFonts w:ascii="Arial" w:cs="Arial" w:eastAsia="Arial" w:hAnsi="Arial"/>
          <w:sz w:val="22"/>
          <w:szCs w:val="22"/>
        </w:rPr>
        <w:t xml:space="preserve">Build the relationship first through convenings, SFC participation, and visibility. Position GAY for an invitation-based conversation.</w:t>
      </w:r>
    </w:p>
    <w:p>
      <w:pPr>
        <w:pStyle w:val="ListParagraph"/>
        <w:numPr>
          <w:ilvl w:val="0"/>
          <w:numId w:val="2"/>
        </w:numPr>
        <w:spacing w:after="100"/>
      </w:pPr>
      <w:r>
        <w:rPr>
          <w:rFonts w:ascii="Arial" w:cs="Arial" w:eastAsia="Arial" w:hAnsi="Arial"/>
          <w:b/>
          <w:bCs/>
          <w:sz w:val="22"/>
          <w:szCs w:val="22"/>
        </w:rPr>
        <w:t xml:space="preserve">Chipotle Cultivate Foundation: </w:t>
      </w:r>
      <w:r>
        <w:rPr>
          <w:rFonts w:ascii="Arial" w:cs="Arial" w:eastAsia="Arial" w:hAnsi="Arial"/>
          <w:sz w:val="22"/>
          <w:szCs w:val="22"/>
        </w:rPr>
        <w:t xml:space="preserve">After establishing social media presence and a compelling visual story, approach with a clear partnership proposal.</w:t>
      </w:r>
    </w:p>
    <w:p>
      <w:pPr>
        <w:pStyle w:val="ListParagraph"/>
        <w:numPr>
          <w:ilvl w:val="0"/>
          <w:numId w:val="2"/>
        </w:numPr>
        <w:spacing w:after="100"/>
      </w:pPr>
      <w:r>
        <w:rPr>
          <w:rFonts w:ascii="Arial" w:cs="Arial" w:eastAsia="Arial" w:hAnsi="Arial"/>
          <w:b/>
          <w:bCs/>
          <w:sz w:val="22"/>
          <w:szCs w:val="22"/>
        </w:rPr>
        <w:t xml:space="preserve">Google.org / Microsoft Philanthropies: </w:t>
      </w:r>
      <w:r>
        <w:rPr>
          <w:rFonts w:ascii="Arial" w:cs="Arial" w:eastAsia="Arial" w:hAnsi="Arial"/>
          <w:sz w:val="22"/>
          <w:szCs w:val="22"/>
        </w:rPr>
        <w:t xml:space="preserve">Pursue after integrating technology components into the program. A strong digital/data component makes the application compelling.</w:t>
      </w:r>
    </w:p>
    <w:p>
      <w:pPr>
        <w:pBdr>
          <w:bottom w:val="single" w:color="52B788" w:sz="2" w:space="1"/>
        </w:pBdr>
        <w:spacing w:before="200" w:after="200"/>
      </w:pPr>
    </w:p>
    <w:p>
      <w:pPr>
        <w:pStyle w:val="Heading1"/>
      </w:pPr>
      <w:r>
        <w:t xml:space="preserve">6. Grant Readiness Checklist</w:t>
      </w:r>
    </w:p>
    <w:p>
      <w:pPr>
        <w:spacing w:after="200"/>
      </w:pPr>
      <w:r>
        <w:rPr>
          <w:rFonts w:ascii="Arial" w:cs="Arial" w:eastAsia="Arial" w:hAnsi="Arial"/>
          <w:color w:val="374151"/>
          <w:sz w:val="22"/>
          <w:szCs w:val="22"/>
        </w:rPr>
        <w:t xml:space="preserve">Before applying to any grant, ensure GAY has the following materials prepared and current:</w:t>
      </w:r>
    </w:p>
    <w:p>
      <w:pPr>
        <w:pStyle w:val="ListParagraph"/>
        <w:numPr>
          <w:ilvl w:val="0"/>
          <w:numId w:val="3"/>
        </w:numPr>
        <w:spacing w:after="100"/>
      </w:pPr>
      <w:r>
        <w:rPr>
          <w:rFonts w:ascii="Arial" w:cs="Arial" w:eastAsia="Arial" w:hAnsi="Arial"/>
          <w:b/>
          <w:bCs/>
          <w:sz w:val="22"/>
          <w:szCs w:val="22"/>
        </w:rPr>
        <w:t xml:space="preserve">IRS Determination Letter </w:t>
      </w:r>
      <w:r>
        <w:rPr>
          <w:rFonts w:ascii="Arial" w:cs="Arial" w:eastAsia="Arial" w:hAnsi="Arial"/>
          <w:sz w:val="22"/>
          <w:szCs w:val="22"/>
        </w:rPr>
        <w:t xml:space="preserve">(501(c)(3) confirmation)</w:t>
      </w:r>
    </w:p>
    <w:p>
      <w:pPr>
        <w:pStyle w:val="ListParagraph"/>
        <w:numPr>
          <w:ilvl w:val="0"/>
          <w:numId w:val="3"/>
        </w:numPr>
        <w:spacing w:after="100"/>
      </w:pPr>
      <w:r>
        <w:rPr>
          <w:rFonts w:ascii="Arial" w:cs="Arial" w:eastAsia="Arial" w:hAnsi="Arial"/>
          <w:b/>
          <w:bCs/>
          <w:sz w:val="22"/>
          <w:szCs w:val="22"/>
        </w:rPr>
        <w:t xml:space="preserve">Most recent Form 990 </w:t>
      </w:r>
      <w:r>
        <w:rPr>
          <w:rFonts w:ascii="Arial" w:cs="Arial" w:eastAsia="Arial" w:hAnsi="Arial"/>
          <w:sz w:val="22"/>
          <w:szCs w:val="22"/>
        </w:rPr>
        <w:t xml:space="preserve">(ideally two consecutive years)</w:t>
      </w:r>
    </w:p>
    <w:p>
      <w:pPr>
        <w:pStyle w:val="ListParagraph"/>
        <w:numPr>
          <w:ilvl w:val="0"/>
          <w:numId w:val="3"/>
        </w:numPr>
        <w:spacing w:after="100"/>
      </w:pPr>
      <w:r>
        <w:rPr>
          <w:rFonts w:ascii="Arial" w:cs="Arial" w:eastAsia="Arial" w:hAnsi="Arial"/>
          <w:b/>
          <w:bCs/>
          <w:sz w:val="22"/>
          <w:szCs w:val="22"/>
        </w:rPr>
        <w:t xml:space="preserve">Audited financial statements or external financial review </w:t>
      </w:r>
      <w:r>
        <w:rPr>
          <w:rFonts w:ascii="Arial" w:cs="Arial" w:eastAsia="Arial" w:hAnsi="Arial"/>
          <w:sz w:val="22"/>
          <w:szCs w:val="22"/>
        </w:rPr>
        <w:t xml:space="preserve">(required by Weinberg and many larger funders)</w:t>
      </w:r>
    </w:p>
    <w:p>
      <w:pPr>
        <w:pStyle w:val="ListParagraph"/>
        <w:numPr>
          <w:ilvl w:val="0"/>
          <w:numId w:val="3"/>
        </w:numPr>
        <w:spacing w:after="100"/>
      </w:pPr>
      <w:r>
        <w:rPr>
          <w:rFonts w:ascii="Arial" w:cs="Arial" w:eastAsia="Arial" w:hAnsi="Arial"/>
          <w:b/>
          <w:bCs/>
          <w:sz w:val="22"/>
          <w:szCs w:val="22"/>
        </w:rPr>
        <w:t xml:space="preserve">Board of Directors list </w:t>
      </w:r>
      <w:r>
        <w:rPr>
          <w:rFonts w:ascii="Arial" w:cs="Arial" w:eastAsia="Arial" w:hAnsi="Arial"/>
          <w:sz w:val="22"/>
          <w:szCs w:val="22"/>
        </w:rPr>
        <w:t xml:space="preserve">with affiliations</w:t>
      </w:r>
    </w:p>
    <w:p>
      <w:pPr>
        <w:pStyle w:val="ListParagraph"/>
        <w:numPr>
          <w:ilvl w:val="0"/>
          <w:numId w:val="3"/>
        </w:numPr>
        <w:spacing w:after="100"/>
      </w:pPr>
      <w:r>
        <w:rPr>
          <w:rFonts w:ascii="Arial" w:cs="Arial" w:eastAsia="Arial" w:hAnsi="Arial"/>
          <w:b/>
          <w:bCs/>
          <w:sz w:val="22"/>
          <w:szCs w:val="22"/>
        </w:rPr>
        <w:t xml:space="preserve">Organizational budget </w:t>
      </w:r>
      <w:r>
        <w:rPr>
          <w:rFonts w:ascii="Arial" w:cs="Arial" w:eastAsia="Arial" w:hAnsi="Arial"/>
          <w:sz w:val="22"/>
          <w:szCs w:val="22"/>
        </w:rPr>
        <w:t xml:space="preserve">(current fiscal year)</w:t>
      </w:r>
    </w:p>
    <w:p>
      <w:pPr>
        <w:pStyle w:val="ListParagraph"/>
        <w:numPr>
          <w:ilvl w:val="0"/>
          <w:numId w:val="3"/>
        </w:numPr>
        <w:spacing w:after="100"/>
      </w:pPr>
      <w:r>
        <w:rPr>
          <w:rFonts w:ascii="Arial" w:cs="Arial" w:eastAsia="Arial" w:hAnsi="Arial"/>
          <w:b/>
          <w:bCs/>
          <w:sz w:val="22"/>
          <w:szCs w:val="22"/>
        </w:rPr>
        <w:t xml:space="preserve">Program outcomes data: </w:t>
      </w:r>
      <w:r>
        <w:rPr>
          <w:rFonts w:ascii="Arial" w:cs="Arial" w:eastAsia="Arial" w:hAnsi="Arial"/>
          <w:sz w:val="22"/>
          <w:szCs w:val="22"/>
        </w:rPr>
        <w:t xml:space="preserve">Number of youth served, program completion rates, certifications earned, employment outcomes, pounds of produce grown. Start tracking now if not already doing so.</w:t>
      </w:r>
    </w:p>
    <w:p>
      <w:pPr>
        <w:pStyle w:val="ListParagraph"/>
        <w:numPr>
          <w:ilvl w:val="0"/>
          <w:numId w:val="3"/>
        </w:numPr>
        <w:spacing w:after="100"/>
      </w:pPr>
      <w:r>
        <w:rPr>
          <w:rFonts w:ascii="Arial" w:cs="Arial" w:eastAsia="Arial" w:hAnsi="Arial"/>
          <w:b/>
          <w:bCs/>
          <w:sz w:val="22"/>
          <w:szCs w:val="22"/>
        </w:rPr>
        <w:t xml:space="preserve">Mission statement </w:t>
      </w:r>
      <w:r>
        <w:rPr>
          <w:rFonts w:ascii="Arial" w:cs="Arial" w:eastAsia="Arial" w:hAnsi="Arial"/>
          <w:sz w:val="22"/>
          <w:szCs w:val="22"/>
        </w:rPr>
        <w:t xml:space="preserve">(in both youth-facing and funder-facing versions, per the Modernization Strategy)</w:t>
      </w:r>
    </w:p>
    <w:p>
      <w:pPr>
        <w:pStyle w:val="ListParagraph"/>
        <w:numPr>
          <w:ilvl w:val="0"/>
          <w:numId w:val="3"/>
        </w:numPr>
        <w:spacing w:after="100"/>
      </w:pPr>
      <w:r>
        <w:rPr>
          <w:rFonts w:ascii="Arial" w:cs="Arial" w:eastAsia="Arial" w:hAnsi="Arial"/>
          <w:b/>
          <w:bCs/>
          <w:sz w:val="22"/>
          <w:szCs w:val="22"/>
        </w:rPr>
        <w:t xml:space="preserve">One-page organizational overview </w:t>
      </w:r>
      <w:r>
        <w:rPr>
          <w:rFonts w:ascii="Arial" w:cs="Arial" w:eastAsia="Arial" w:hAnsi="Arial"/>
          <w:sz w:val="22"/>
          <w:szCs w:val="22"/>
        </w:rPr>
        <w:t xml:space="preserve">(a leave-behind for meetings with funders)</w:t>
      </w:r>
    </w:p>
    <w:p>
      <w:pPr>
        <w:pStyle w:val="ListParagraph"/>
        <w:numPr>
          <w:ilvl w:val="0"/>
          <w:numId w:val="3"/>
        </w:numPr>
        <w:spacing w:after="100"/>
      </w:pPr>
      <w:r>
        <w:rPr>
          <w:rFonts w:ascii="Arial" w:cs="Arial" w:eastAsia="Arial" w:hAnsi="Arial"/>
          <w:b/>
          <w:bCs/>
          <w:sz w:val="22"/>
          <w:szCs w:val="22"/>
        </w:rPr>
        <w:t xml:space="preserve">Photos and video of program in action </w:t>
      </w:r>
      <w:r>
        <w:rPr>
          <w:rFonts w:ascii="Arial" w:cs="Arial" w:eastAsia="Arial" w:hAnsi="Arial"/>
          <w:sz w:val="22"/>
          <w:szCs w:val="22"/>
        </w:rPr>
        <w:t xml:space="preserve">(with media releases from participants)</w:t>
      </w:r>
    </w:p>
    <w:p>
      <w:pPr>
        <w:pStyle w:val="ListParagraph"/>
        <w:numPr>
          <w:ilvl w:val="0"/>
          <w:numId w:val="3"/>
        </w:numPr>
        <w:spacing w:after="100"/>
      </w:pPr>
      <w:r>
        <w:rPr>
          <w:rFonts w:ascii="Arial" w:cs="Arial" w:eastAsia="Arial" w:hAnsi="Arial"/>
          <w:b/>
          <w:bCs/>
          <w:sz w:val="22"/>
          <w:szCs w:val="22"/>
        </w:rPr>
        <w:t xml:space="preserve">Maryland SDAT Good Standing status </w:t>
      </w:r>
      <w:r>
        <w:rPr>
          <w:rFonts w:ascii="Arial" w:cs="Arial" w:eastAsia="Arial" w:hAnsi="Arial"/>
          <w:sz w:val="22"/>
          <w:szCs w:val="22"/>
        </w:rPr>
        <w:t xml:space="preserve">and Maryland Secretary of State charitable registration (required for state grants)</w:t>
      </w:r>
    </w:p>
    <w:p>
      <w:pPr>
        <w:spacing w:after="200"/>
      </w:pPr>
    </w:p>
    <w:p>
      <w:pPr>
        <w:pBdr>
          <w:top w:val="single" w:color="52B788" w:sz="6" w:space="1"/>
        </w:pBdr>
        <w:spacing w:before="200"/>
      </w:pPr>
    </w:p>
    <w:p>
      <w:pPr>
        <w:spacing w:after="100"/>
      </w:pPr>
    </w:p>
    <w:p>
      <w:pPr>
        <w:pStyle w:val="Heading1"/>
      </w:pPr>
      <w:r>
        <w:t xml:space="preserve">Final Note</w:t>
      </w:r>
    </w:p>
    <w:p>
      <w:pPr>
        <w:spacing w:after="200"/>
      </w:pPr>
      <w:r>
        <w:rPr>
          <w:rFonts w:ascii="Arial" w:cs="Arial" w:eastAsia="Arial" w:hAnsi="Arial"/>
          <w:color w:val="374151"/>
          <w:sz w:val="22"/>
          <w:szCs w:val="22"/>
        </w:rPr>
        <w:t xml:space="preserve">This guide identifies over 20 grant opportunities across four funding tiers, representing potentially hundreds of thousands of dollars in available support for GAY’s work. The key is disciplined sequencing: start with the most accessible local grants to build a funding track record, then use that credibility to pursue larger state and federal opportunities. Every grant you win makes the next application stronger.</w:t>
      </w:r>
    </w:p>
    <w:p>
      <w:pPr>
        <w:spacing w:after="200"/>
      </w:pPr>
      <w:r>
        <w:rPr>
          <w:rFonts w:ascii="Arial" w:cs="Arial" w:eastAsia="Arial" w:hAnsi="Arial"/>
          <w:color w:val="374151"/>
          <w:sz w:val="22"/>
          <w:szCs w:val="22"/>
        </w:rPr>
        <w:t xml:space="preserve">The organizations that succeed in the Baltimore funding landscape are the ones that funders already know. Attend convenings hosted by Baltimore’s Promise, Family League, and BCF. Introduce your work to program officers before you submit an application. Bring funders to see the program in person. When a program officer can picture a 16-year-old growing lettuce under LED lights, the grant writes itself.</w:t>
      </w:r>
    </w:p>
    <w:p>
      <w:pPr>
        <w:spacing w:after="200"/>
      </w:pPr>
    </w:p>
    <w:p>
      <w:pPr>
        <w:jc w:val="center"/>
      </w:pPr>
      <w:r>
        <w:rPr>
          <w:rFonts w:ascii="Arial" w:cs="Arial" w:eastAsia="Arial" w:hAnsi="Arial"/>
          <w:i/>
          <w:iCs/>
          <w:color w:val="6B7280"/>
          <w:sz w:val="18"/>
          <w:szCs w:val="18"/>
        </w:rPr>
        <w:t xml:space="preserve">— End of Grants Guide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Growing America’s Youth — Grants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2026-03-14T19:24:35.571Z</dcterms:created>
  <dcterms:modified xsi:type="dcterms:W3CDTF">2026-03-14T19:24:35.573Z</dcterms:modified>
</cp:coreProperties>
</file>

<file path=docProps/custom.xml><?xml version="1.0" encoding="utf-8"?>
<Properties xmlns="http://schemas.openxmlformats.org/officeDocument/2006/custom-properties" xmlns:vt="http://schemas.openxmlformats.org/officeDocument/2006/docPropsVTypes"/>
</file>