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left"/>
      </w:pPr>
      <w:r>
        <w:rPr>
          <w:rFonts w:ascii="Arial" w:cs="Arial" w:eastAsia="Arial" w:hAnsi="Arial"/>
          <w:b/>
          <w:bCs/>
          <w:caps/>
          <w:color w:val="2D6A4F"/>
          <w:sz w:val="20"/>
          <w:szCs w:val="20"/>
        </w:rPr>
        <w:t xml:space="preserve">BRAND STRATEGY &amp; MODERNIZATION PLAN</w:t>
      </w:r>
    </w:p>
    <w:p>
      <w:pPr>
        <w:spacing w:after="200"/>
      </w:pPr>
    </w:p>
    <w:p>
      <w:pPr>
        <w:spacing w:after="100"/>
      </w:pPr>
      <w:r>
        <w:rPr>
          <w:rFonts w:ascii="Arial" w:cs="Arial" w:eastAsia="Arial" w:hAnsi="Arial"/>
          <w:b/>
          <w:bCs/>
          <w:color w:val="1B4332"/>
          <w:sz w:val="56"/>
          <w:szCs w:val="56"/>
        </w:rPr>
        <w:t xml:space="preserve">Growing America’s Youth</w:t>
      </w:r>
    </w:p>
    <w:p>
      <w:pPr>
        <w:spacing w:after="80"/>
      </w:pPr>
      <w:r>
        <w:rPr>
          <w:rFonts w:ascii="Arial" w:cs="Arial" w:eastAsia="Arial" w:hAnsi="Arial"/>
          <w:color w:val="2D6A4F"/>
          <w:sz w:val="30"/>
          <w:szCs w:val="30"/>
        </w:rPr>
        <w:t xml:space="preserve">From Seed to Opportunity</w:t>
      </w:r>
    </w:p>
    <w:p>
      <w:pPr>
        <w:spacing w:after="80"/>
      </w:pPr>
    </w:p>
    <w:p>
      <w:pPr>
        <w:pBdr>
          <w:top w:val="single" w:color="52B788" w:sz="6" w:space="1"/>
        </w:pBdr>
        <w:spacing w:before="80"/>
      </w:pPr>
    </w:p>
    <w:p>
      <w:pPr>
        <w:spacing w:after="200"/>
      </w:pPr>
    </w:p>
    <w:p>
      <w:pPr>
        <w:spacing w:after="200"/>
        <w:rPr>
          <w:i/>
          <w:iCs/>
          <w:color w:val="6B7280"/>
          <w:sz w:val="24"/>
          <w:szCs w:val="24"/>
        </w:rPr>
      </w:pPr>
      <w:r>
        <w:rPr>
          <w:rFonts w:ascii="Arial" w:cs="Arial" w:eastAsia="Arial" w:hAnsi="Arial"/>
          <w:i/>
          <w:iCs/>
          <w:color w:val="6B7280"/>
          <w:sz w:val="24"/>
          <w:szCs w:val="24"/>
        </w:rPr>
        <w:t xml:space="preserve">A comprehensive plan to modernize the brand, digital presence, programs, and fundraising strategy of Growing America’s Youth — a Baltimore-based 501(c)(3) nonprofit teaching urban youth hydroponic gardening, STEM skills, food safety certification, healthy eating, life skills, and career development.</w:t>
      </w:r>
    </w:p>
    <w:p>
      <w:pPr>
        <w:spacing w:after="400"/>
      </w:pPr>
    </w:p>
    <w:p>
      <w:r>
        <w:rPr>
          <w:rFonts w:ascii="Arial" w:cs="Arial" w:eastAsia="Arial" w:hAnsi="Arial"/>
          <w:color w:val="6B7280"/>
          <w:sz w:val="22"/>
          <w:szCs w:val="22"/>
        </w:rPr>
        <w:t xml:space="preserve">Prepared: March 2026</w:t>
      </w:r>
    </w:p>
    <w:p>
      <w:r>
        <w:rPr>
          <w:rFonts w:ascii="Arial" w:cs="Arial" w:eastAsia="Arial" w:hAnsi="Arial"/>
          <w:color w:val="6B7280"/>
          <w:sz w:val="22"/>
          <w:szCs w:val="22"/>
        </w:rPr>
        <w:t xml:space="preserve">Scope: Website, Brand, Social Media, Programs, Fundraising</w:t>
      </w:r>
    </w:p>
    <w:p>
      <w:r>
        <w:rPr>
          <w:rFonts w:ascii="Arial" w:cs="Arial" w:eastAsia="Arial" w:hAnsi="Arial"/>
          <w:color w:val="6B7280"/>
          <w:sz w:val="22"/>
          <w:szCs w:val="22"/>
        </w:rPr>
        <w:t xml:space="preserve">Audience: Organizational Leadership &amp; Board of Directors</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rFonts w:ascii="Arial" w:cs="Arial" w:eastAsia="Arial" w:hAnsi="Arial"/>
          <w:color w:val="374151"/>
          <w:sz w:val="22"/>
          <w:szCs w:val="22"/>
        </w:rPr>
        <w:t xml:space="preserve">Growing America’s Youth (GAY) is doing extraordinary, tangible work in Baltimore City — teaching young people to grow their own food, earn certifications, develop career skills, and build futures. The problem is not the mission. The problem is that the mission is invisible to the people it exists to serve.</w:t>
      </w:r>
    </w:p>
    <w:p>
      <w:pPr>
        <w:spacing w:after="200"/>
      </w:pPr>
      <w:r>
        <w:rPr>
          <w:rFonts w:ascii="Arial" w:cs="Arial" w:eastAsia="Arial" w:hAnsi="Arial"/>
          <w:color w:val="374151"/>
          <w:sz w:val="22"/>
          <w:szCs w:val="22"/>
        </w:rPr>
        <w:t xml:space="preserve">The current website reads like a grant application. The language is formal, repetitive, and written for funders rather than for a 16-year-old in West Baltimore deciding whether to spend their summer here or somewhere else. There is no visible social media presence, no youth voice, no visual storytelling, and no clear path for a young person to say “I want in.”</w:t>
      </w:r>
    </w:p>
    <w:p>
      <w:pPr>
        <w:spacing w:after="200"/>
      </w:pPr>
      <w:r>
        <w:rPr>
          <w:rFonts w:ascii="Arial" w:cs="Arial" w:eastAsia="Arial" w:hAnsi="Arial"/>
          <w:color w:val="374151"/>
          <w:sz w:val="22"/>
          <w:szCs w:val="22"/>
        </w:rPr>
        <w:t xml:space="preserve">This strategy addresses five interconnected areas: a complete website redesign built around youth-first design and content; a refreshed brand identity and messaging framework that speaks Gen Z’s language; a social media launch strategy focused on TikTok, Instagram, and YouTube Shorts; program modernization that connects hydroponics to trending youth interests like sustainability, cooking culture, and entrepreneurship; and a modern fundraising approach that leverages peer-to-peer giving, cause marketing, and strategic corporate partnerships.</w:t>
      </w:r>
    </w:p>
    <w:p>
      <w:pPr>
        <w:spacing w:after="200"/>
      </w:pPr>
      <w:r>
        <w:rPr>
          <w:rFonts w:ascii="Arial" w:cs="Arial" w:eastAsia="Arial" w:hAnsi="Arial"/>
          <w:color w:val="374151"/>
          <w:sz w:val="22"/>
          <w:szCs w:val="22"/>
        </w:rPr>
        <w:t xml:space="preserve">Every recommendation in this document is designed to be actionable, budget-conscious, and grounded in one core belief: if young people in Baltimore can’t see themselves in your brand within the first five seconds, they’re gone. This plan makes sure they stay.</w:t>
      </w:r>
    </w:p>
    <w:p>
      <w:r>
        <w:br/>
      </w:r>
    </w:p>
    <w:p>
      <w:pPr>
        <w:pStyle w:val="Heading1"/>
      </w:pPr>
      <w:r>
        <w:t xml:space="preserve">1. Website Redesign</w:t>
      </w:r>
    </w:p>
    <w:p>
      <w:pPr>
        <w:spacing w:after="200"/>
      </w:pPr>
      <w:r>
        <w:rPr>
          <w:rFonts w:ascii="Arial" w:cs="Arial" w:eastAsia="Arial" w:hAnsi="Arial"/>
          <w:color w:val="374151"/>
          <w:sz w:val="22"/>
          <w:szCs w:val="22"/>
        </w:rPr>
        <w:t xml:space="preserve">The current site at growingamericasyouth.org has significant structural and content issues. The copy is dense, repetitive, and reads like a mission statement pasted across every section. The visual design lacks photography, video, or any visual proof of the organization’s work. There is no clear call-to-action for youth enrollment, no testimonials from participants, and no social proof that this program changes lives. Here is the blueprint for a complete rebuild.</w:t>
      </w:r>
    </w:p>
    <w:p>
      <w:pPr>
        <w:pStyle w:val="Heading2"/>
      </w:pPr>
      <w:r>
        <w:t xml:space="preserve">1.1 Recommended Site Architecture</w:t>
      </w:r>
    </w:p>
    <w:p>
      <w:pPr>
        <w:spacing w:after="200"/>
      </w:pPr>
      <w:r>
        <w:rPr>
          <w:rFonts w:ascii="Arial" w:cs="Arial" w:eastAsia="Arial" w:hAnsi="Arial"/>
          <w:color w:val="374151"/>
          <w:sz w:val="22"/>
          <w:szCs w:val="22"/>
        </w:rPr>
        <w:t xml:space="preserve">The redesigned website should have the following core pages and sections:</w:t>
      </w:r>
    </w:p>
    <w:p>
      <w:pPr>
        <w:spacing w:after="200"/>
      </w:pPr>
      <w:r>
        <w:rPr>
          <w:rFonts w:ascii="Arial" w:cs="Arial" w:eastAsia="Arial" w:hAnsi="Arial"/>
          <w:b/>
          <w:bCs/>
          <w:color w:val="374151"/>
          <w:sz w:val="22"/>
          <w:szCs w:val="22"/>
        </w:rPr>
        <w:t xml:space="preserve">Homepage: </w:t>
      </w:r>
      <w:r>
        <w:rPr>
          <w:rFonts w:ascii="Arial" w:cs="Arial" w:eastAsia="Arial" w:hAnsi="Arial"/>
          <w:color w:val="374151"/>
          <w:sz w:val="22"/>
          <w:szCs w:val="22"/>
        </w:rPr>
        <w:t xml:space="preserve">The front door. Hero section with full-bleed video or image of real participants. A clear, bold headline that speaks directly to youth. Three-card section highlighting the core value propositions (learn to grow food, get paid, earn real certifications). Scrolling testimonial carousel from alumni. Prominent “Join the Program” button that stays visible at all times. Quick-hit stats (number of youth served, pounds of food grown, certifications earned). Partner logos and a donor CTA at the bottom.</w:t>
      </w:r>
    </w:p>
    <w:p>
      <w:pPr>
        <w:spacing w:after="200"/>
      </w:pPr>
      <w:r>
        <w:rPr>
          <w:rFonts w:ascii="Arial" w:cs="Arial" w:eastAsia="Arial" w:hAnsi="Arial"/>
          <w:b/>
          <w:bCs/>
          <w:color w:val="374151"/>
          <w:sz w:val="22"/>
          <w:szCs w:val="22"/>
        </w:rPr>
        <w:t xml:space="preserve">Programs: </w:t>
      </w:r>
      <w:r>
        <w:rPr>
          <w:rFonts w:ascii="Arial" w:cs="Arial" w:eastAsia="Arial" w:hAnsi="Arial"/>
          <w:color w:val="374151"/>
          <w:sz w:val="22"/>
          <w:szCs w:val="22"/>
        </w:rPr>
        <w:t xml:space="preserve">Dedicated page for each major offering — Hydroponic Gardening, ServSafe Certification, STEM Skills, Life Skills &amp; Career Development, and the Summer Youth Employment cohort. Each program page should include a plain-language description of what participants actually do day-to-day, what they leave with, and a short video clip or photo gallery from a recent session.</w:t>
      </w:r>
    </w:p>
    <w:p>
      <w:pPr>
        <w:spacing w:after="200"/>
      </w:pPr>
      <w:r>
        <w:rPr>
          <w:rFonts w:ascii="Arial" w:cs="Arial" w:eastAsia="Arial" w:hAnsi="Arial"/>
          <w:b/>
          <w:bCs/>
          <w:color w:val="374151"/>
          <w:sz w:val="22"/>
          <w:szCs w:val="22"/>
        </w:rPr>
        <w:t xml:space="preserve">About Us: </w:t>
      </w:r>
      <w:r>
        <w:rPr>
          <w:rFonts w:ascii="Arial" w:cs="Arial" w:eastAsia="Arial" w:hAnsi="Arial"/>
          <w:color w:val="374151"/>
          <w:sz w:val="22"/>
          <w:szCs w:val="22"/>
        </w:rPr>
        <w:t xml:space="preserve">Origin story told through the founder’s voice. Timeline of milestones. Board and staff bios with photos. Transparent financials (link to GuideStar/Candid profile and annual report). Clear explanation of the 501(c)(3) status.</w:t>
      </w:r>
    </w:p>
    <w:p>
      <w:pPr>
        <w:spacing w:after="200"/>
      </w:pPr>
      <w:r>
        <w:rPr>
          <w:rFonts w:ascii="Arial" w:cs="Arial" w:eastAsia="Arial" w:hAnsi="Arial"/>
          <w:b/>
          <w:bCs/>
          <w:color w:val="374151"/>
          <w:sz w:val="22"/>
          <w:szCs w:val="22"/>
        </w:rPr>
        <w:t xml:space="preserve">Stories / Impact: </w:t>
      </w:r>
      <w:r>
        <w:rPr>
          <w:rFonts w:ascii="Arial" w:cs="Arial" w:eastAsia="Arial" w:hAnsi="Arial"/>
          <w:color w:val="374151"/>
          <w:sz w:val="22"/>
          <w:szCs w:val="22"/>
        </w:rPr>
        <w:t xml:space="preserve">This is the most important page after the homepage. A blog-style feed of participant stories, photo essays, short video profiles, and outcome data. This is where parents, funders, and youth themselves go to see proof. Update it monthly at minimum.</w:t>
      </w:r>
    </w:p>
    <w:p>
      <w:pPr>
        <w:spacing w:after="200"/>
      </w:pPr>
      <w:r>
        <w:rPr>
          <w:rFonts w:ascii="Arial" w:cs="Arial" w:eastAsia="Arial" w:hAnsi="Arial"/>
          <w:b/>
          <w:bCs/>
          <w:color w:val="374151"/>
          <w:sz w:val="22"/>
          <w:szCs w:val="22"/>
        </w:rPr>
        <w:t xml:space="preserve">Get Involved: </w:t>
      </w:r>
      <w:r>
        <w:rPr>
          <w:rFonts w:ascii="Arial" w:cs="Arial" w:eastAsia="Arial" w:hAnsi="Arial"/>
          <w:color w:val="374151"/>
          <w:sz w:val="22"/>
          <w:szCs w:val="22"/>
        </w:rPr>
        <w:t xml:space="preserve">Four clear pathways: (1) Youth sign-up / application, (2) Volunteer, (3) Donate, (4) Partner with us. Each pathway gets its own landing section with a form. The youth application should be mobile-friendly, short (under 5 minutes to complete), and should not require a parent’s signature just to express interest.</w:t>
      </w:r>
    </w:p>
    <w:p>
      <w:pPr>
        <w:spacing w:after="200"/>
      </w:pPr>
      <w:r>
        <w:rPr>
          <w:rFonts w:ascii="Arial" w:cs="Arial" w:eastAsia="Arial" w:hAnsi="Arial"/>
          <w:b/>
          <w:bCs/>
          <w:color w:val="374151"/>
          <w:sz w:val="22"/>
          <w:szCs w:val="22"/>
        </w:rPr>
        <w:t xml:space="preserve">Contact / FAQ: </w:t>
      </w:r>
      <w:r>
        <w:rPr>
          <w:rFonts w:ascii="Arial" w:cs="Arial" w:eastAsia="Arial" w:hAnsi="Arial"/>
          <w:color w:val="374151"/>
          <w:sz w:val="22"/>
          <w:szCs w:val="22"/>
        </w:rPr>
        <w:t xml:space="preserve">Address, phone, email, embedded Google Map, and an FAQ section that answers the questions youth and parents actually have: Is this free? Do I really get paid? What do I need to bring? Is there transportation? What hours? Can I still do this if I have a record?</w:t>
      </w:r>
    </w:p>
    <w:p>
      <w:pPr>
        <w:pStyle w:val="Heading2"/>
      </w:pPr>
      <w:r>
        <w:t xml:space="preserve">1.2 Design Aesthetic for Gen Z</w:t>
      </w:r>
    </w:p>
    <w:p>
      <w:pPr>
        <w:spacing w:after="200"/>
      </w:pPr>
      <w:r>
        <w:rPr>
          <w:rFonts w:ascii="Arial" w:cs="Arial" w:eastAsia="Arial" w:hAnsi="Arial"/>
          <w:color w:val="374151"/>
          <w:sz w:val="22"/>
          <w:szCs w:val="22"/>
        </w:rPr>
        <w:t xml:space="preserve">Gen Z does not respond to the traditional nonprofit look — no navy blue headers, no stock photos of diverse hands in a circle, no serif fonts. The site needs to feel alive, current, and unapologetically bold. Here are the design principles:</w:t>
      </w:r>
    </w:p>
    <w:p>
      <w:pPr>
        <w:pStyle w:val="ListParagraph"/>
        <w:numPr>
          <w:ilvl w:val="0"/>
          <w:numId w:val="2"/>
        </w:numPr>
        <w:spacing w:after="120"/>
      </w:pPr>
      <w:r>
        <w:rPr>
          <w:rFonts w:ascii="Arial" w:cs="Arial" w:eastAsia="Arial" w:hAnsi="Arial"/>
          <w:b/>
          <w:bCs/>
          <w:color w:val="374151"/>
          <w:sz w:val="22"/>
          <w:szCs w:val="22"/>
        </w:rPr>
        <w:t xml:space="preserve">Color palette: </w:t>
      </w:r>
      <w:r>
        <w:rPr>
          <w:rFonts w:ascii="Arial" w:cs="Arial" w:eastAsia="Arial" w:hAnsi="Arial"/>
          <w:color w:val="374151"/>
          <w:sz w:val="22"/>
          <w:szCs w:val="22"/>
        </w:rPr>
        <w:t xml:space="preserve">Rich greens (#2D6A4F, #52B788) paired with warm earth tones, cream backgrounds, and pops of bright accent colors (a vivid yellow-green or coral). The green connects to the agricultural mission while feeling fresh, not institutional. Avoid the muted gray-and-blue palette of most nonprofits.</w:t>
      </w:r>
    </w:p>
    <w:p>
      <w:pPr>
        <w:pStyle w:val="ListParagraph"/>
        <w:numPr>
          <w:ilvl w:val="0"/>
          <w:numId w:val="2"/>
        </w:numPr>
        <w:spacing w:after="120"/>
      </w:pPr>
      <w:r>
        <w:rPr>
          <w:rFonts w:ascii="Arial" w:cs="Arial" w:eastAsia="Arial" w:hAnsi="Arial"/>
          <w:b/>
          <w:bCs/>
          <w:color w:val="374151"/>
          <w:sz w:val="22"/>
          <w:szCs w:val="22"/>
        </w:rPr>
        <w:t xml:space="preserve">Typography: </w:t>
      </w:r>
      <w:r>
        <w:rPr>
          <w:rFonts w:ascii="Arial" w:cs="Arial" w:eastAsia="Arial" w:hAnsi="Arial"/>
          <w:color w:val="374151"/>
          <w:sz w:val="22"/>
          <w:szCs w:val="22"/>
        </w:rPr>
        <w:t xml:space="preserve">Use a bold, geometric sans-serif for headlines (such as Space Grotesk, Clash Display, or Satoshi) and a clean readable sans-serif for body text (Inter, DM Sans). Large display type. Oversized numbers for stats. Avoid anything that looks like a government form.</w:t>
      </w:r>
    </w:p>
    <w:p>
      <w:pPr>
        <w:pStyle w:val="ListParagraph"/>
        <w:numPr>
          <w:ilvl w:val="0"/>
          <w:numId w:val="2"/>
        </w:numPr>
        <w:spacing w:after="120"/>
      </w:pPr>
      <w:r>
        <w:rPr>
          <w:rFonts w:ascii="Arial" w:cs="Arial" w:eastAsia="Arial" w:hAnsi="Arial"/>
          <w:b/>
          <w:bCs/>
          <w:color w:val="374151"/>
          <w:sz w:val="22"/>
          <w:szCs w:val="22"/>
        </w:rPr>
        <w:t xml:space="preserve">Layout: </w:t>
      </w:r>
      <w:r>
        <w:rPr>
          <w:rFonts w:ascii="Arial" w:cs="Arial" w:eastAsia="Arial" w:hAnsi="Arial"/>
          <w:color w:val="374151"/>
          <w:sz w:val="22"/>
          <w:szCs w:val="22"/>
        </w:rPr>
        <w:t xml:space="preserve">Mobile-first, full-width sections, generous white space, scroll-triggered animations, sticky navigation. Card-based content blocks. Grid layouts that feel like a social media feed, not a brochure. The site should scroll vertically with purpose — each section should make one point and make it visually.</w:t>
      </w:r>
    </w:p>
    <w:p>
      <w:pPr>
        <w:pStyle w:val="ListParagraph"/>
        <w:numPr>
          <w:ilvl w:val="0"/>
          <w:numId w:val="2"/>
        </w:numPr>
        <w:spacing w:after="120"/>
      </w:pPr>
      <w:r>
        <w:rPr>
          <w:rFonts w:ascii="Arial" w:cs="Arial" w:eastAsia="Arial" w:hAnsi="Arial"/>
          <w:b/>
          <w:bCs/>
          <w:color w:val="374151"/>
          <w:sz w:val="22"/>
          <w:szCs w:val="22"/>
        </w:rPr>
        <w:t xml:space="preserve">Photography &amp; Video: </w:t>
      </w:r>
      <w:r>
        <w:rPr>
          <w:rFonts w:ascii="Arial" w:cs="Arial" w:eastAsia="Arial" w:hAnsi="Arial"/>
          <w:color w:val="374151"/>
          <w:sz w:val="22"/>
          <w:szCs w:val="22"/>
        </w:rPr>
        <w:t xml:space="preserve">Real participants only. No stock photos under any circumstances. Candid shots of youth in the hydroponic lab, hands in nutrient solution, laughter during sessions, certificates being handed out. Video should be vertical-format and embedded throughout, not hidden on a separate media page.</w:t>
      </w:r>
    </w:p>
    <w:p>
      <w:pPr>
        <w:pStyle w:val="ListParagraph"/>
        <w:numPr>
          <w:ilvl w:val="0"/>
          <w:numId w:val="2"/>
        </w:numPr>
        <w:spacing w:after="120"/>
      </w:pPr>
      <w:r>
        <w:rPr>
          <w:rFonts w:ascii="Arial" w:cs="Arial" w:eastAsia="Arial" w:hAnsi="Arial"/>
          <w:b/>
          <w:bCs/>
          <w:color w:val="374151"/>
          <w:sz w:val="22"/>
          <w:szCs w:val="22"/>
        </w:rPr>
        <w:t xml:space="preserve">Vibe: </w:t>
      </w:r>
      <w:r>
        <w:rPr>
          <w:rFonts w:ascii="Arial" w:cs="Arial" w:eastAsia="Arial" w:hAnsi="Arial"/>
          <w:color w:val="374151"/>
          <w:sz w:val="22"/>
          <w:szCs w:val="22"/>
        </w:rPr>
        <w:t xml:space="preserve">Think Patagonia meets a Baltimore corner store. Grounded, real, local, proud. Not polished-corporate and not poverty-tourism. The design should make a teen feel like this is their space, not something designed to impress a foundation program officer.</w:t>
      </w:r>
    </w:p>
    <w:p>
      <w:pPr>
        <w:pStyle w:val="Heading2"/>
      </w:pPr>
      <w:r>
        <w:t xml:space="preserve">1.3 Content Youth Want to See Before They Trust an Org</w:t>
      </w:r>
    </w:p>
    <w:p>
      <w:pPr>
        <w:spacing w:after="200"/>
      </w:pPr>
      <w:r>
        <w:rPr>
          <w:rFonts w:ascii="Arial" w:cs="Arial" w:eastAsia="Arial" w:hAnsi="Arial"/>
          <w:color w:val="374151"/>
          <w:sz w:val="22"/>
          <w:szCs w:val="22"/>
        </w:rPr>
        <w:t xml:space="preserve">Before a young person commits their time to any program, they are subconsciously running a trust audit. They want to see:</w:t>
      </w:r>
    </w:p>
    <w:p>
      <w:pPr>
        <w:pStyle w:val="ListParagraph"/>
        <w:numPr>
          <w:ilvl w:val="0"/>
          <w:numId w:val="2"/>
        </w:numPr>
        <w:spacing w:after="120"/>
      </w:pPr>
      <w:r>
        <w:rPr>
          <w:rFonts w:ascii="Arial" w:cs="Arial" w:eastAsia="Arial" w:hAnsi="Arial"/>
          <w:b/>
          <w:bCs/>
          <w:color w:val="374151"/>
          <w:sz w:val="22"/>
          <w:szCs w:val="22"/>
        </w:rPr>
        <w:t xml:space="preserve">People who look like them: </w:t>
      </w:r>
      <w:r>
        <w:rPr>
          <w:rFonts w:ascii="Arial" w:cs="Arial" w:eastAsia="Arial" w:hAnsi="Arial"/>
          <w:color w:val="374151"/>
          <w:sz w:val="22"/>
          <w:szCs w:val="22"/>
        </w:rPr>
        <w:t xml:space="preserve">Photos and videos of actual Baltimore youth who have been through the program. Names and faces, not anonymous silhouettes.</w:t>
      </w:r>
    </w:p>
    <w:p>
      <w:pPr>
        <w:pStyle w:val="ListParagraph"/>
        <w:numPr>
          <w:ilvl w:val="0"/>
          <w:numId w:val="2"/>
        </w:numPr>
        <w:spacing w:after="120"/>
      </w:pPr>
      <w:r>
        <w:rPr>
          <w:rFonts w:ascii="Arial" w:cs="Arial" w:eastAsia="Arial" w:hAnsi="Arial"/>
          <w:b/>
          <w:bCs/>
          <w:color w:val="374151"/>
          <w:sz w:val="22"/>
          <w:szCs w:val="22"/>
        </w:rPr>
        <w:t xml:space="preserve">Proof it’s real: </w:t>
      </w:r>
      <w:r>
        <w:rPr>
          <w:rFonts w:ascii="Arial" w:cs="Arial" w:eastAsia="Arial" w:hAnsi="Arial"/>
          <w:color w:val="374151"/>
          <w:sz w:val="22"/>
          <w:szCs w:val="22"/>
        </w:rPr>
        <w:t xml:space="preserve">Short testimonial videos (even 15-second clips), photos of the actual space, the actual equipment, the actual food that was grown. Screenshots of participants’ ServSafe certificates.</w:t>
      </w:r>
    </w:p>
    <w:p>
      <w:pPr>
        <w:pStyle w:val="ListParagraph"/>
        <w:numPr>
          <w:ilvl w:val="0"/>
          <w:numId w:val="2"/>
        </w:numPr>
        <w:spacing w:after="120"/>
      </w:pPr>
      <w:r>
        <w:rPr>
          <w:rFonts w:ascii="Arial" w:cs="Arial" w:eastAsia="Arial" w:hAnsi="Arial"/>
          <w:b/>
          <w:bCs/>
          <w:color w:val="374151"/>
          <w:sz w:val="22"/>
          <w:szCs w:val="22"/>
        </w:rPr>
        <w:t xml:space="preserve">What’s in it for them: </w:t>
      </w:r>
      <w:r>
        <w:rPr>
          <w:rFonts w:ascii="Arial" w:cs="Arial" w:eastAsia="Arial" w:hAnsi="Arial"/>
          <w:color w:val="374151"/>
          <w:sz w:val="22"/>
          <w:szCs w:val="22"/>
        </w:rPr>
        <w:t xml:space="preserve">Clear, upfront information about the stipend, the certifications, the skills they’ll walk away with. Not buried in paragraph three of a mission statement — front and center on the homepage.</w:t>
      </w:r>
    </w:p>
    <w:p>
      <w:pPr>
        <w:pStyle w:val="ListParagraph"/>
        <w:numPr>
          <w:ilvl w:val="0"/>
          <w:numId w:val="2"/>
        </w:numPr>
        <w:spacing w:after="120"/>
      </w:pPr>
      <w:r>
        <w:rPr>
          <w:rFonts w:ascii="Arial" w:cs="Arial" w:eastAsia="Arial" w:hAnsi="Arial"/>
          <w:b/>
          <w:bCs/>
          <w:color w:val="374151"/>
          <w:sz w:val="22"/>
          <w:szCs w:val="22"/>
        </w:rPr>
        <w:t xml:space="preserve">Low barrier to entry: </w:t>
      </w:r>
      <w:r>
        <w:rPr>
          <w:rFonts w:ascii="Arial" w:cs="Arial" w:eastAsia="Arial" w:hAnsi="Arial"/>
          <w:color w:val="374151"/>
          <w:sz w:val="22"/>
          <w:szCs w:val="22"/>
        </w:rPr>
        <w:t xml:space="preserve">A visible, simple sign-up process. No PDF applications to download and print. A form that works on a phone and takes under five minutes.</w:t>
      </w:r>
    </w:p>
    <w:p>
      <w:pPr>
        <w:pStyle w:val="ListParagraph"/>
        <w:numPr>
          <w:ilvl w:val="0"/>
          <w:numId w:val="2"/>
        </w:numPr>
        <w:spacing w:after="120"/>
      </w:pPr>
      <w:r>
        <w:rPr>
          <w:rFonts w:ascii="Arial" w:cs="Arial" w:eastAsia="Arial" w:hAnsi="Arial"/>
          <w:b/>
          <w:bCs/>
          <w:color w:val="374151"/>
          <w:sz w:val="22"/>
          <w:szCs w:val="22"/>
        </w:rPr>
        <w:t xml:space="preserve">Active social media: </w:t>
      </w:r>
      <w:r>
        <w:rPr>
          <w:rFonts w:ascii="Arial" w:cs="Arial" w:eastAsia="Arial" w:hAnsi="Arial"/>
          <w:color w:val="374151"/>
          <w:sz w:val="22"/>
          <w:szCs w:val="22"/>
        </w:rPr>
        <w:t xml:space="preserve">A dead or nonexistent social media presence is a red flag for anyone under 25. If your Instagram hasn’t been updated in six months, youth assume the program is dead too.</w:t>
      </w:r>
    </w:p>
    <w:p>
      <w:pPr>
        <w:pStyle w:val="Heading2"/>
      </w:pPr>
      <w:r>
        <w:t xml:space="preserve">1.4 Homepage Hero Section — Rewritten</w:t>
      </w:r>
    </w:p>
    <w:p>
      <w:pPr>
        <w:spacing w:after="200"/>
      </w:pPr>
      <w:r>
        <w:rPr>
          <w:rFonts w:ascii="Arial" w:cs="Arial" w:eastAsia="Arial" w:hAnsi="Arial"/>
          <w:color w:val="374151"/>
          <w:sz w:val="22"/>
          <w:szCs w:val="22"/>
        </w:rPr>
        <w:t xml:space="preserve">The current homepage opens with dense paragraph text about the organization’s structure and mission. Here is how the hero section should read instead: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1"/>
              <w:left w:val="single" w:color="2D6A4F" w:sz="12"/>
              <w:bottom w:val="single" w:color="52B788" w:sz="1"/>
              <w:right w:val="single" w:color="52B788" w:sz="1"/>
            </w:tcBorders>
            <w:shd w:fill="F0FFF4" w:val="clear"/>
            <w:tcMar>
              <w:top w:type="dxa" w:w="120"/>
              <w:left w:type="dxa" w:w="200"/>
              <w:bottom w:type="dxa" w:w="120"/>
              <w:right w:type="dxa" w:w="200"/>
            </w:tcMar>
          </w:tcPr>
          <w:p>
            <w:pPr>
              <w:spacing w:after="120"/>
            </w:pPr>
            <w:r>
              <w:rPr>
                <w:rFonts w:ascii="Arial" w:cs="Arial" w:eastAsia="Arial" w:hAnsi="Arial"/>
                <w:b/>
                <w:bCs/>
                <w:color w:val="1B4332"/>
                <w:sz w:val="36"/>
                <w:szCs w:val="36"/>
              </w:rPr>
              <w:t xml:space="preserve">You grow it. You eat it. You get paid.</w:t>
            </w:r>
          </w:p>
          <w:p>
            <w:pPr>
              <w:spacing w:after="160"/>
            </w:pPr>
            <w:r>
              <w:rPr>
                <w:rFonts w:ascii="Arial" w:cs="Arial" w:eastAsia="Arial" w:hAnsi="Arial"/>
                <w:color w:val="2D6A4F"/>
                <w:sz w:val="24"/>
                <w:szCs w:val="24"/>
              </w:rPr>
              <w:t xml:space="preserve">Learn hydroponic farming. Earn your ServSafe certification. Build skills that actually matter. And yes — you get a weekly stipend.</w:t>
            </w:r>
          </w:p>
          <w:p>
            <w:pPr>
              <w:spacing w:after="80"/>
            </w:pPr>
            <w:r>
              <w:rPr>
                <w:rFonts w:ascii="Arial" w:cs="Arial" w:eastAsia="Arial" w:hAnsi="Arial"/>
                <w:color w:val="374151"/>
                <w:sz w:val="22"/>
                <w:szCs w:val="22"/>
              </w:rPr>
              <w:t xml:space="preserve">[CTA BUTTON] “I’M IN — SIGN ME UP”     [Secondary link] “Wait, tell me more first →”</w:t>
            </w:r>
          </w:p>
        </w:tc>
      </w:tr>
    </w:tbl>
    <w:p>
      <w:pPr>
        <w:spacing w:after="120"/>
      </w:pPr>
    </w:p>
    <w:p>
      <w:pPr>
        <w:spacing w:after="200"/>
      </w:pPr>
      <w:r>
        <w:rPr>
          <w:rFonts w:ascii="Arial" w:cs="Arial" w:eastAsia="Arial" w:hAnsi="Arial"/>
          <w:color w:val="374151"/>
          <w:sz w:val="22"/>
          <w:szCs w:val="22"/>
        </w:rPr>
        <w:t xml:space="preserve">This hero section works because it leads with what the youth gets, uses direct second-person language, names the specific tangible outcomes, and makes the call-to-action feel low-commitment and inviting rather than formal. The background should be a full-bleed photo or looping video of real participants working with hydroponic systems.</w:t>
      </w:r>
    </w:p>
    <w:p>
      <w:r>
        <w:br/>
      </w:r>
    </w:p>
    <w:p>
      <w:pPr>
        <w:pStyle w:val="Heading1"/>
      </w:pPr>
      <w:r>
        <w:t xml:space="preserve">2. Brand &amp; Messaging</w:t>
      </w:r>
    </w:p>
    <w:p>
      <w:pPr>
        <w:spacing w:after="200"/>
      </w:pPr>
      <w:r>
        <w:rPr>
          <w:rFonts w:ascii="Arial" w:cs="Arial" w:eastAsia="Arial" w:hAnsi="Arial"/>
          <w:color w:val="374151"/>
          <w:sz w:val="22"/>
          <w:szCs w:val="22"/>
        </w:rPr>
        <w:t xml:space="preserve">The current messaging on growingamericasyouth.org is written in the voice of a grant proposal. Phrases like “structured developed program designed to promote agriculture” and “promising programs will help get a head start on preparing children and families for success with measurable outcomes” are invisible to a teenager. They are written to reassure an institutional funder, not to inspire a young person. This section provides a complete messaging overhaul.</w:t>
      </w:r>
    </w:p>
    <w:p>
      <w:pPr>
        <w:pStyle w:val="Heading2"/>
      </w:pPr>
      <w:r>
        <w:t xml:space="preserve">2.1 Tagline Options</w:t>
      </w:r>
    </w:p>
    <w:p>
      <w:pPr>
        <w:spacing w:after="200"/>
      </w:pPr>
      <w:r>
        <w:rPr>
          <w:rFonts w:ascii="Arial" w:cs="Arial" w:eastAsia="Arial" w:hAnsi="Arial"/>
          <w:color w:val="374151"/>
          <w:sz w:val="22"/>
          <w:szCs w:val="22"/>
        </w:rPr>
        <w:t xml:space="preserve">The current implicit tagline is “If you can plant a seed, you’ll never be hungry.” That’s a beautiful sentiment, and it should remain part of the founder’s story. But the public-facing tagline needs to be shorter, punchier, and oriented toward possibility rather than survival.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1"/>
              <w:left w:val="single" w:color="2D6A4F" w:sz="12"/>
              <w:bottom w:val="single" w:color="52B788" w:sz="1"/>
              <w:right w:val="single" w:color="52B788" w:sz="1"/>
            </w:tcBorders>
            <w:shd w:fill="F0FFF4" w:val="clear"/>
            <w:tcMar>
              <w:top w:type="dxa" w:w="120"/>
              <w:left w:type="dxa" w:w="200"/>
              <w:bottom w:type="dxa" w:w="120"/>
              <w:right w:type="dxa" w:w="200"/>
            </w:tcMar>
          </w:tcPr>
          <w:p>
            <w:pPr>
              <w:spacing w:after="100"/>
            </w:pPr>
            <w:r>
              <w:rPr>
                <w:rFonts w:ascii="Arial" w:cs="Arial" w:eastAsia="Arial" w:hAnsi="Arial"/>
                <w:b/>
                <w:bCs/>
                <w:color w:val="1B4332"/>
                <w:sz w:val="24"/>
                <w:szCs w:val="24"/>
              </w:rPr>
              <w:t xml:space="preserve">Primary recommendation: </w:t>
            </w:r>
            <w:r>
              <w:rPr>
                <w:rFonts w:ascii="Arial" w:cs="Arial" w:eastAsia="Arial" w:hAnsi="Arial"/>
                <w:color w:val="2D6A4F"/>
                <w:sz w:val="24"/>
                <w:szCs w:val="24"/>
              </w:rPr>
              <w:t xml:space="preserve">“Grow Something Real.”</w:t>
            </w:r>
          </w:p>
          <w:p>
            <w:pPr>
              <w:spacing w:after="60"/>
            </w:pPr>
            <w:r>
              <w:rPr>
                <w:rFonts w:ascii="Arial" w:cs="Arial" w:eastAsia="Arial" w:hAnsi="Arial"/>
                <w:color w:val="374151"/>
                <w:sz w:val="20"/>
                <w:szCs w:val="20"/>
              </w:rPr>
              <w:t xml:space="preserve">Alternates: “From Seed to Career.”  |  “Rooted in Baltimore. Built for You.”  |  “Plant Your Future.”</w:t>
            </w:r>
          </w:p>
        </w:tc>
      </w:tr>
    </w:tbl>
    <w:p>
      <w:pPr>
        <w:spacing w:after="100"/>
      </w:pPr>
    </w:p>
    <w:p>
      <w:pPr>
        <w:spacing w:after="200"/>
      </w:pPr>
      <w:r>
        <w:rPr>
          <w:rFonts w:ascii="Arial" w:cs="Arial" w:eastAsia="Arial" w:hAnsi="Arial"/>
          <w:color w:val="374151"/>
          <w:sz w:val="22"/>
          <w:szCs w:val="22"/>
        </w:rPr>
        <w:t xml:space="preserve">“Grow Something Real” works on multiple levels. It references the literal act of growing plants. It speaks to personal growth. And it taps into Gen Z’s deep craving for authenticity — something real, not performative, not corporate, not fake.</w:t>
      </w:r>
    </w:p>
    <w:p>
      <w:pPr>
        <w:pStyle w:val="Heading2"/>
      </w:pPr>
      <w:r>
        <w:t xml:space="preserve">2.2 Mission Statement — Rewritten</w:t>
      </w:r>
    </w:p>
    <w:p>
      <w:pPr>
        <w:spacing w:after="200"/>
      </w:pPr>
      <w:r>
        <w:rPr>
          <w:rFonts w:ascii="Arial" w:cs="Arial" w:eastAsia="Arial" w:hAnsi="Arial"/>
          <w:color w:val="374151"/>
          <w:sz w:val="22"/>
          <w:szCs w:val="22"/>
        </w:rPr>
        <w:t xml:space="preserve">The current mission statement is over 100 words long, uses passive constructions, and buries the specifics. Here is a rewritten version in two registers:</w:t>
      </w:r>
    </w:p>
    <w:p>
      <w:pPr>
        <w:spacing w:after="200"/>
      </w:pPr>
      <w:r>
        <w:rPr>
          <w:rFonts w:ascii="Arial" w:cs="Arial" w:eastAsia="Arial" w:hAnsi="Arial"/>
          <w:b/>
          <w:bCs/>
          <w:color w:val="374151"/>
          <w:sz w:val="22"/>
          <w:szCs w:val="22"/>
        </w:rPr>
        <w:t xml:space="preserve">For youth-facing materials (website hero, social media bios, flyers): </w:t>
      </w:r>
      <w:r>
        <w:rPr>
          <w:rFonts w:ascii="Arial" w:cs="Arial" w:eastAsia="Arial" w:hAnsi="Arial"/>
          <w:color w:val="374151"/>
          <w:sz w:val="22"/>
          <w:szCs w:val="22"/>
        </w:rPr>
        <w:t xml:space="preserve">“We teach Baltimore youth to grow their own food, earn real certifications, get paid, and build careers — starting with seeds and water.”</w:t>
      </w:r>
    </w:p>
    <w:p>
      <w:pPr>
        <w:spacing w:after="200"/>
      </w:pPr>
      <w:r>
        <w:rPr>
          <w:rFonts w:ascii="Arial" w:cs="Arial" w:eastAsia="Arial" w:hAnsi="Arial"/>
          <w:b/>
          <w:bCs/>
          <w:color w:val="374151"/>
          <w:sz w:val="22"/>
          <w:szCs w:val="22"/>
        </w:rPr>
        <w:t xml:space="preserve">For funder-facing materials (grant applications, annual report): </w:t>
      </w:r>
      <w:r>
        <w:rPr>
          <w:rFonts w:ascii="Arial" w:cs="Arial" w:eastAsia="Arial" w:hAnsi="Arial"/>
          <w:color w:val="374151"/>
          <w:sz w:val="22"/>
          <w:szCs w:val="22"/>
        </w:rPr>
        <w:t xml:space="preserve">“Growing America’s Youth is a Baltimore City 501(c)(3) that equips young people ages 13–24 with hands-on hydroponic agriculture, ServSafe food safety certification, STEM skills, and career development tools. Through our Summer Youth Employment cohort and year-round programming, we serve at-risk youth and low-income families with measurable pathways from education to employment.”</w:t>
      </w:r>
    </w:p>
    <w:p>
      <w:pPr>
        <w:spacing w:after="200"/>
      </w:pPr>
      <w:r>
        <w:rPr>
          <w:rFonts w:ascii="Arial" w:cs="Arial" w:eastAsia="Arial" w:hAnsi="Arial"/>
          <w:color w:val="374151"/>
          <w:sz w:val="22"/>
          <w:szCs w:val="22"/>
        </w:rPr>
        <w:t xml:space="preserve">The key principle: maintain two versions of every piece of core copy. One that a 15-year-old would actually read, and one that a program officer at the Abell Foundation would fund.</w:t>
      </w:r>
    </w:p>
    <w:p>
      <w:pPr>
        <w:pStyle w:val="Heading2"/>
      </w:pPr>
      <w:r>
        <w:t xml:space="preserve">2.3 Tone, Vocabulary &amp; Storytelling</w:t>
      </w:r>
    </w:p>
    <w:p>
      <w:pPr>
        <w:spacing w:after="200"/>
      </w:pPr>
      <w:r>
        <w:rPr>
          <w:rFonts w:ascii="Arial" w:cs="Arial" w:eastAsia="Arial" w:hAnsi="Arial"/>
          <w:color w:val="374151"/>
          <w:sz w:val="22"/>
          <w:szCs w:val="22"/>
        </w:rPr>
        <w:t xml:space="preserve">Gen Z responds to a specific communication style. This is not about being trendy or using slang incorrectly — nothing kills credibility faster than an organization trying to sound like a teenager. The goal is clarity, directness, and emotional honesty. Here are the principles:</w:t>
      </w:r>
    </w:p>
    <w:p>
      <w:pPr>
        <w:pStyle w:val="ListParagraph"/>
        <w:numPr>
          <w:ilvl w:val="0"/>
          <w:numId w:val="2"/>
        </w:numPr>
        <w:spacing w:after="120"/>
      </w:pPr>
      <w:r>
        <w:rPr>
          <w:rFonts w:ascii="Arial" w:cs="Arial" w:eastAsia="Arial" w:hAnsi="Arial"/>
          <w:b/>
          <w:bCs/>
          <w:color w:val="374151"/>
          <w:sz w:val="22"/>
          <w:szCs w:val="22"/>
        </w:rPr>
        <w:t xml:space="preserve">Second person, always: </w:t>
      </w:r>
      <w:r>
        <w:rPr>
          <w:rFonts w:ascii="Arial" w:cs="Arial" w:eastAsia="Arial" w:hAnsi="Arial"/>
          <w:color w:val="374151"/>
          <w:sz w:val="22"/>
          <w:szCs w:val="22"/>
        </w:rPr>
        <w:t xml:space="preserve">“You’ll learn” not “Our youth will learn.” “You get paid” not “Participants receive a stipend.”</w:t>
      </w:r>
    </w:p>
    <w:p>
      <w:pPr>
        <w:pStyle w:val="ListParagraph"/>
        <w:numPr>
          <w:ilvl w:val="0"/>
          <w:numId w:val="2"/>
        </w:numPr>
        <w:spacing w:after="120"/>
      </w:pPr>
      <w:r>
        <w:rPr>
          <w:rFonts w:ascii="Arial" w:cs="Arial" w:eastAsia="Arial" w:hAnsi="Arial"/>
          <w:b/>
          <w:bCs/>
          <w:color w:val="374151"/>
          <w:sz w:val="22"/>
          <w:szCs w:val="22"/>
        </w:rPr>
        <w:t xml:space="preserve">Short sentences. Active voice. No jargon: </w:t>
      </w:r>
      <w:r>
        <w:rPr>
          <w:rFonts w:ascii="Arial" w:cs="Arial" w:eastAsia="Arial" w:hAnsi="Arial"/>
          <w:color w:val="374151"/>
          <w:sz w:val="22"/>
          <w:szCs w:val="22"/>
        </w:rPr>
        <w:t xml:space="preserve">Replace “designed to promote agriculture by teaching” with “we teach you to grow food.” Replace “measurable outcomes” with “real results.” Replace “prevention and intervention programs” with “programs that have your back.”</w:t>
      </w:r>
    </w:p>
    <w:p>
      <w:pPr>
        <w:pStyle w:val="ListParagraph"/>
        <w:numPr>
          <w:ilvl w:val="0"/>
          <w:numId w:val="2"/>
        </w:numPr>
        <w:spacing w:after="120"/>
      </w:pPr>
      <w:r>
        <w:rPr>
          <w:rFonts w:ascii="Arial" w:cs="Arial" w:eastAsia="Arial" w:hAnsi="Arial"/>
          <w:b/>
          <w:bCs/>
          <w:color w:val="374151"/>
          <w:sz w:val="22"/>
          <w:szCs w:val="22"/>
        </w:rPr>
        <w:t xml:space="preserve">Lead with outcomes, not inputs: </w:t>
      </w:r>
      <w:r>
        <w:rPr>
          <w:rFonts w:ascii="Arial" w:cs="Arial" w:eastAsia="Arial" w:hAnsi="Arial"/>
          <w:color w:val="374151"/>
          <w:sz w:val="22"/>
          <w:szCs w:val="22"/>
        </w:rPr>
        <w:t xml:space="preserve">Don’t start with what the program is. Start with what the participant gets. “Leave with a ServSafe certification, a portfolio of grown produce, and job-ready skills” beats “Our program offers food safety training.”</w:t>
      </w:r>
    </w:p>
    <w:p>
      <w:pPr>
        <w:pStyle w:val="ListParagraph"/>
        <w:numPr>
          <w:ilvl w:val="0"/>
          <w:numId w:val="2"/>
        </w:numPr>
        <w:spacing w:after="120"/>
      </w:pPr>
      <w:r>
        <w:rPr>
          <w:rFonts w:ascii="Arial" w:cs="Arial" w:eastAsia="Arial" w:hAnsi="Arial"/>
          <w:b/>
          <w:bCs/>
          <w:color w:val="374151"/>
          <w:sz w:val="22"/>
          <w:szCs w:val="22"/>
        </w:rPr>
        <w:t xml:space="preserve">Tell stories, not statistics: </w:t>
      </w:r>
      <w:r>
        <w:rPr>
          <w:rFonts w:ascii="Arial" w:cs="Arial" w:eastAsia="Arial" w:hAnsi="Arial"/>
          <w:color w:val="374151"/>
          <w:sz w:val="22"/>
          <w:szCs w:val="22"/>
        </w:rPr>
        <w:t xml:space="preserve">A stat like “85% of participants completed the program” is for your board deck. For youth, tell Malik’s story: how he walked in skeptical, grew his first head of lettuce, got his certification, and used it to get a job at a restaurant downtown. Name, face, arc.</w:t>
      </w:r>
    </w:p>
    <w:p>
      <w:pPr>
        <w:pStyle w:val="ListParagraph"/>
        <w:numPr>
          <w:ilvl w:val="0"/>
          <w:numId w:val="2"/>
        </w:numPr>
        <w:spacing w:after="120"/>
      </w:pPr>
      <w:r>
        <w:rPr>
          <w:rFonts w:ascii="Arial" w:cs="Arial" w:eastAsia="Arial" w:hAnsi="Arial"/>
          <w:b/>
          <w:bCs/>
          <w:color w:val="374151"/>
          <w:sz w:val="22"/>
          <w:szCs w:val="22"/>
        </w:rPr>
        <w:t xml:space="preserve">Acknowledge reality without being patronizing: </w:t>
      </w:r>
      <w:r>
        <w:rPr>
          <w:rFonts w:ascii="Arial" w:cs="Arial" w:eastAsia="Arial" w:hAnsi="Arial"/>
          <w:color w:val="374151"/>
          <w:sz w:val="22"/>
          <w:szCs w:val="22"/>
        </w:rPr>
        <w:t xml:space="preserve">Gen Z in Baltimore knows their neighborhoods are under-resourced. They don’t need you to explain that to them. Avoid “at-risk” and “troubled” in youth-facing copy. Use “young people who deserve more options” or simply don’t label them at all.</w:t>
      </w:r>
    </w:p>
    <w:p>
      <w:pPr>
        <w:pStyle w:val="Heading2"/>
      </w:pPr>
      <w:r>
        <w:t xml:space="preserve">2.4 Using Real Youth Voices</w:t>
      </w:r>
    </w:p>
    <w:p>
      <w:pPr>
        <w:spacing w:after="200"/>
      </w:pPr>
      <w:r>
        <w:rPr>
          <w:rFonts w:ascii="Arial" w:cs="Arial" w:eastAsia="Arial" w:hAnsi="Arial"/>
          <w:color w:val="374151"/>
          <w:sz w:val="22"/>
          <w:szCs w:val="22"/>
        </w:rPr>
        <w:t xml:space="preserve">Authenticity is non-negotiable. Here is a concrete framework for building it:</w:t>
      </w:r>
    </w:p>
    <w:p>
      <w:pPr>
        <w:pStyle w:val="ListParagraph"/>
        <w:numPr>
          <w:ilvl w:val="0"/>
          <w:numId w:val="3"/>
        </w:numPr>
        <w:spacing w:after="120"/>
      </w:pPr>
      <w:r>
        <w:rPr>
          <w:rFonts w:ascii="Arial" w:cs="Arial" w:eastAsia="Arial" w:hAnsi="Arial"/>
          <w:b/>
          <w:bCs/>
          <w:color w:val="374151"/>
          <w:sz w:val="22"/>
          <w:szCs w:val="22"/>
        </w:rPr>
        <w:t xml:space="preserve">Create a Youth Advisory Board: </w:t>
      </w:r>
      <w:r>
        <w:rPr>
          <w:rFonts w:ascii="Arial" w:cs="Arial" w:eastAsia="Arial" w:hAnsi="Arial"/>
          <w:color w:val="374151"/>
          <w:sz w:val="22"/>
          <w:szCs w:val="22"/>
        </w:rPr>
        <w:t xml:space="preserve">Recruit 3–5 current or former participants to serve as official advisors. They review all website copy, social media content, and program descriptions before anything goes live. Compensate them with gift cards or an additional stipend.</w:t>
      </w:r>
    </w:p>
    <w:p>
      <w:pPr>
        <w:pStyle w:val="ListParagraph"/>
        <w:numPr>
          <w:ilvl w:val="0"/>
          <w:numId w:val="3"/>
        </w:numPr>
        <w:spacing w:after="120"/>
      </w:pPr>
      <w:r>
        <w:rPr>
          <w:rFonts w:ascii="Arial" w:cs="Arial" w:eastAsia="Arial" w:hAnsi="Arial"/>
          <w:b/>
          <w:bCs/>
          <w:color w:val="374151"/>
          <w:sz w:val="22"/>
          <w:szCs w:val="22"/>
        </w:rPr>
        <w:t xml:space="preserve">Collect video testimonials every cohort: </w:t>
      </w:r>
      <w:r>
        <w:rPr>
          <w:rFonts w:ascii="Arial" w:cs="Arial" w:eastAsia="Arial" w:hAnsi="Arial"/>
          <w:color w:val="374151"/>
          <w:sz w:val="22"/>
          <w:szCs w:val="22"/>
        </w:rPr>
        <w:t xml:space="preserve">At the end of each program cycle, sit down with willing participants for a 2–3 minute video interview. Use a phone, natural lighting, and a simple backdrop. Ask: What did you think this was going to be? What surprised you? What are you most proud of? What would you tell a friend about this?</w:t>
      </w:r>
    </w:p>
    <w:p>
      <w:pPr>
        <w:pStyle w:val="ListParagraph"/>
        <w:numPr>
          <w:ilvl w:val="0"/>
          <w:numId w:val="3"/>
        </w:numPr>
        <w:spacing w:after="120"/>
      </w:pPr>
      <w:r>
        <w:rPr>
          <w:rFonts w:ascii="Arial" w:cs="Arial" w:eastAsia="Arial" w:hAnsi="Arial"/>
          <w:b/>
          <w:bCs/>
          <w:color w:val="374151"/>
          <w:sz w:val="22"/>
          <w:szCs w:val="22"/>
        </w:rPr>
        <w:t xml:space="preserve">Feature alumni on the website and social media by name: </w:t>
      </w:r>
      <w:r>
        <w:rPr>
          <w:rFonts w:ascii="Arial" w:cs="Arial" w:eastAsia="Arial" w:hAnsi="Arial"/>
          <w:color w:val="374151"/>
          <w:sz w:val="22"/>
          <w:szCs w:val="22"/>
        </w:rPr>
        <w:t xml:space="preserve">With permission and appropriate media releases, use real first names, real photos, and real quotes. A quote in a participant’s actual voice (“I didn’t even know you could grow lettuce without dirt”) is worth more than any paragraph of marketing copy.</w:t>
      </w:r>
    </w:p>
    <w:p>
      <w:pPr>
        <w:pStyle w:val="ListParagraph"/>
        <w:numPr>
          <w:ilvl w:val="0"/>
          <w:numId w:val="3"/>
        </w:numPr>
        <w:spacing w:after="120"/>
      </w:pPr>
      <w:r>
        <w:rPr>
          <w:rFonts w:ascii="Arial" w:cs="Arial" w:eastAsia="Arial" w:hAnsi="Arial"/>
          <w:b/>
          <w:bCs/>
          <w:color w:val="374151"/>
          <w:sz w:val="22"/>
          <w:szCs w:val="22"/>
        </w:rPr>
        <w:t xml:space="preserve">Let youth co-create content: </w:t>
      </w:r>
      <w:r>
        <w:rPr>
          <w:rFonts w:ascii="Arial" w:cs="Arial" w:eastAsia="Arial" w:hAnsi="Arial"/>
          <w:color w:val="374151"/>
          <w:sz w:val="22"/>
          <w:szCs w:val="22"/>
        </w:rPr>
        <w:t xml:space="preserve">Give participants access to the organization’s social media accounts (supervised) to do “takeover” days. Let them film behind-the-scenes content. Their perspective is the brand.</w:t>
      </w:r>
    </w:p>
    <w:p>
      <w:r>
        <w:br/>
      </w:r>
    </w:p>
    <w:p>
      <w:pPr>
        <w:pStyle w:val="Heading1"/>
      </w:pPr>
      <w:r>
        <w:t xml:space="preserve">3. Social Media Strategy</w:t>
      </w:r>
    </w:p>
    <w:p>
      <w:pPr>
        <w:spacing w:after="200"/>
      </w:pPr>
      <w:r>
        <w:rPr>
          <w:rFonts w:ascii="Arial" w:cs="Arial" w:eastAsia="Arial" w:hAnsi="Arial"/>
          <w:color w:val="374151"/>
          <w:sz w:val="22"/>
          <w:szCs w:val="22"/>
        </w:rPr>
        <w:t xml:space="preserve">Growing America’s Youth currently has no meaningful social media presence. This is the single biggest barrier to reaching Baltimore youth in 2026. A young person who hears about the program will Google it, check Instagram, and look for a TikTok. If nothing comes up, the program doesn’t exist in their reality. Here is a launch strategy.</w:t>
      </w:r>
    </w:p>
    <w:p>
      <w:pPr>
        <w:pStyle w:val="Heading2"/>
      </w:pPr>
      <w:r>
        <w:t xml:space="preserve">3.1 Platform Priority</w:t>
      </w:r>
    </w:p>
    <w:p>
      <w:pPr>
        <w:spacing w:after="200"/>
      </w:pPr>
      <w:r>
        <w:rPr>
          <w:rFonts w:ascii="Arial" w:cs="Arial" w:eastAsia="Arial" w:hAnsi="Arial"/>
          <w:color w:val="374151"/>
          <w:sz w:val="22"/>
          <w:szCs w:val="22"/>
        </w:rPr>
        <w:t xml:space="preserve">Not all platforms deserve equal investment. Based on current usage data for teens and young adults — especially Black and Hispanic youth in urban areas — here is the priority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1"/>
              <w:left w:val="single" w:color="2D6A4F" w:sz="12"/>
              <w:bottom w:val="single" w:color="52B788" w:sz="1"/>
              <w:right w:val="single" w:color="52B788"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2"/>
                <w:szCs w:val="22"/>
              </w:rPr>
              <w:t xml:space="preserve">Tier 1 (launch immediately): </w:t>
            </w:r>
            <w:r>
              <w:rPr>
                <w:rFonts w:ascii="Arial" w:cs="Arial" w:eastAsia="Arial" w:hAnsi="Arial"/>
                <w:color w:val="374151"/>
                <w:sz w:val="22"/>
                <w:szCs w:val="22"/>
              </w:rPr>
              <w:t xml:space="preserve">TikTok and Instagram (Reels + Stories)</w:t>
            </w:r>
          </w:p>
          <w:p>
            <w:pPr>
              <w:spacing w:after="80"/>
            </w:pPr>
            <w:r>
              <w:rPr>
                <w:rFonts w:ascii="Arial" w:cs="Arial" w:eastAsia="Arial" w:hAnsi="Arial"/>
                <w:b/>
                <w:bCs/>
                <w:color w:val="1B4332"/>
                <w:sz w:val="22"/>
                <w:szCs w:val="22"/>
              </w:rPr>
              <w:t xml:space="preserve">Tier 2 (launch within 60 days): </w:t>
            </w:r>
            <w:r>
              <w:rPr>
                <w:rFonts w:ascii="Arial" w:cs="Arial" w:eastAsia="Arial" w:hAnsi="Arial"/>
                <w:color w:val="374151"/>
                <w:sz w:val="22"/>
                <w:szCs w:val="22"/>
              </w:rPr>
              <w:t xml:space="preserve">YouTube Shorts and a YouTube channel for longer content</w:t>
            </w:r>
          </w:p>
          <w:p>
            <w:pPr>
              <w:spacing w:after="80"/>
            </w:pPr>
            <w:r>
              <w:rPr>
                <w:rFonts w:ascii="Arial" w:cs="Arial" w:eastAsia="Arial" w:hAnsi="Arial"/>
                <w:b/>
                <w:bCs/>
                <w:color w:val="1B4332"/>
                <w:sz w:val="22"/>
                <w:szCs w:val="22"/>
              </w:rPr>
              <w:t xml:space="preserve">Tier 3 (build over time): </w:t>
            </w:r>
            <w:r>
              <w:rPr>
                <w:rFonts w:ascii="Arial" w:cs="Arial" w:eastAsia="Arial" w:hAnsi="Arial"/>
                <w:color w:val="374151"/>
                <w:sz w:val="22"/>
                <w:szCs w:val="22"/>
              </w:rPr>
              <w:t xml:space="preserve">Snapchat (for direct outreach), a Discord community server</w:t>
            </w:r>
          </w:p>
          <w:p>
            <w:r>
              <w:rPr>
                <w:rFonts w:ascii="Arial" w:cs="Arial" w:eastAsia="Arial" w:hAnsi="Arial"/>
                <w:i/>
                <w:iCs/>
                <w:color w:val="6B7280"/>
                <w:sz w:val="22"/>
                <w:szCs w:val="22"/>
              </w:rPr>
              <w:t xml:space="preserve">Skip for now: Facebook (useful for parent outreach and fundraising, not for reaching youth directly), X/Twitter, LinkedIn</w:t>
            </w:r>
          </w:p>
        </w:tc>
      </w:tr>
    </w:tbl>
    <w:p>
      <w:pPr>
        <w:spacing w:after="100"/>
      </w:pPr>
    </w:p>
    <w:p>
      <w:pPr>
        <w:spacing w:after="200"/>
      </w:pPr>
      <w:r>
        <w:rPr>
          <w:rFonts w:ascii="Arial" w:cs="Arial" w:eastAsia="Arial" w:hAnsi="Arial"/>
          <w:color w:val="374151"/>
          <w:sz w:val="22"/>
          <w:szCs w:val="22"/>
        </w:rPr>
        <w:t xml:space="preserve">TikTok is the priority because approximately 80% of Black teens and 70% of Hispanic teens use the platform, and about half of all 18–29-year-olds use it daily. Instagram remains essential for visual credibility and serves as a “resume” for organizations — when someone wants to vet you, they check your grid. YouTube Shorts lets you repurpose the same vertical video content across three platforms with minimal extra work.</w:t>
      </w:r>
    </w:p>
    <w:p>
      <w:pPr>
        <w:pStyle w:val="Heading2"/>
      </w:pPr>
      <w:r>
        <w:t xml:space="preserve">3.2 Content Types That Perform</w:t>
      </w:r>
    </w:p>
    <w:p>
      <w:pPr>
        <w:spacing w:after="200"/>
      </w:pPr>
      <w:r>
        <w:rPr>
          <w:rFonts w:ascii="Arial" w:cs="Arial" w:eastAsia="Arial" w:hAnsi="Arial"/>
          <w:color w:val="374151"/>
          <w:sz w:val="22"/>
          <w:szCs w:val="22"/>
        </w:rPr>
        <w:t xml:space="preserve">Given GAY’s mission, there is an enormous content opportunity at the intersection of food, science, sustainability, and youth empowerment. Here are the content pillars:</w:t>
      </w:r>
    </w:p>
    <w:p>
      <w:pPr>
        <w:pStyle w:val="ListParagraph"/>
        <w:numPr>
          <w:ilvl w:val="0"/>
          <w:numId w:val="2"/>
        </w:numPr>
        <w:spacing w:after="120"/>
      </w:pPr>
      <w:r>
        <w:rPr>
          <w:rFonts w:ascii="Arial" w:cs="Arial" w:eastAsia="Arial" w:hAnsi="Arial"/>
          <w:b/>
          <w:bCs/>
          <w:color w:val="374151"/>
          <w:sz w:val="22"/>
          <w:szCs w:val="22"/>
        </w:rPr>
        <w:t xml:space="preserve">Grow content: </w:t>
      </w:r>
      <w:r>
        <w:rPr>
          <w:rFonts w:ascii="Arial" w:cs="Arial" w:eastAsia="Arial" w:hAnsi="Arial"/>
          <w:color w:val="374151"/>
          <w:sz w:val="22"/>
          <w:szCs w:val="22"/>
        </w:rPr>
        <w:t xml:space="preserve">Time-lapse videos of plants growing from seed to harvest in hydroponic systems. These are inherently satisfying and shareable. The “oddly satisfying” and “plant growth” niches on TikTok have billions of views.</w:t>
      </w:r>
    </w:p>
    <w:p>
      <w:pPr>
        <w:pStyle w:val="ListParagraph"/>
        <w:numPr>
          <w:ilvl w:val="0"/>
          <w:numId w:val="2"/>
        </w:numPr>
        <w:spacing w:after="120"/>
      </w:pPr>
      <w:r>
        <w:rPr>
          <w:rFonts w:ascii="Arial" w:cs="Arial" w:eastAsia="Arial" w:hAnsi="Arial"/>
          <w:b/>
          <w:bCs/>
          <w:color w:val="374151"/>
          <w:sz w:val="22"/>
          <w:szCs w:val="22"/>
        </w:rPr>
        <w:t xml:space="preserve">Cook content: </w:t>
      </w:r>
      <w:r>
        <w:rPr>
          <w:rFonts w:ascii="Arial" w:cs="Arial" w:eastAsia="Arial" w:hAnsi="Arial"/>
          <w:color w:val="374151"/>
          <w:sz w:val="22"/>
          <w:szCs w:val="22"/>
        </w:rPr>
        <w:t xml:space="preserve">“We grew it, now we’re cooking it.” Short recipe videos using produce the participants actually grew. This taps into the massive food content economy on social media.</w:t>
      </w:r>
    </w:p>
    <w:p>
      <w:pPr>
        <w:pStyle w:val="ListParagraph"/>
        <w:numPr>
          <w:ilvl w:val="0"/>
          <w:numId w:val="2"/>
        </w:numPr>
        <w:spacing w:after="120"/>
      </w:pPr>
      <w:r>
        <w:rPr>
          <w:rFonts w:ascii="Arial" w:cs="Arial" w:eastAsia="Arial" w:hAnsi="Arial"/>
          <w:b/>
          <w:bCs/>
          <w:color w:val="374151"/>
          <w:sz w:val="22"/>
          <w:szCs w:val="22"/>
        </w:rPr>
        <w:t xml:space="preserve">Science content: </w:t>
      </w:r>
      <w:r>
        <w:rPr>
          <w:rFonts w:ascii="Arial" w:cs="Arial" w:eastAsia="Arial" w:hAnsi="Arial"/>
          <w:color w:val="374151"/>
          <w:sz w:val="22"/>
          <w:szCs w:val="22"/>
        </w:rPr>
        <w:t xml:space="preserve">“Did you know you can grow lettuce without dirt?” Quick explainers about how hydroponics works, nutrient solutions, pH levels, LED grow lights. Educational content presented with curiosity and energy, not like a textbook.</w:t>
      </w:r>
    </w:p>
    <w:p>
      <w:pPr>
        <w:pStyle w:val="ListParagraph"/>
        <w:numPr>
          <w:ilvl w:val="0"/>
          <w:numId w:val="2"/>
        </w:numPr>
        <w:spacing w:after="120"/>
      </w:pPr>
      <w:r>
        <w:rPr>
          <w:rFonts w:ascii="Arial" w:cs="Arial" w:eastAsia="Arial" w:hAnsi="Arial"/>
          <w:b/>
          <w:bCs/>
          <w:color w:val="374151"/>
          <w:sz w:val="22"/>
          <w:szCs w:val="22"/>
        </w:rPr>
        <w:t xml:space="preserve">Day-in-the-life content: </w:t>
      </w:r>
      <w:r>
        <w:rPr>
          <w:rFonts w:ascii="Arial" w:cs="Arial" w:eastAsia="Arial" w:hAnsi="Arial"/>
          <w:color w:val="374151"/>
          <w:sz w:val="22"/>
          <w:szCs w:val="22"/>
        </w:rPr>
        <w:t xml:space="preserve">A participant films their experience from arrival to departure. What do they actually do here? This answers the number-one question a prospective participant has.</w:t>
      </w:r>
    </w:p>
    <w:p>
      <w:pPr>
        <w:pStyle w:val="ListParagraph"/>
        <w:numPr>
          <w:ilvl w:val="0"/>
          <w:numId w:val="2"/>
        </w:numPr>
        <w:spacing w:after="120"/>
      </w:pPr>
      <w:r>
        <w:rPr>
          <w:rFonts w:ascii="Arial" w:cs="Arial" w:eastAsia="Arial" w:hAnsi="Arial"/>
          <w:b/>
          <w:bCs/>
          <w:color w:val="374151"/>
          <w:sz w:val="22"/>
          <w:szCs w:val="22"/>
        </w:rPr>
        <w:t xml:space="preserve">Transformation and milestone content: </w:t>
      </w:r>
      <w:r>
        <w:rPr>
          <w:rFonts w:ascii="Arial" w:cs="Arial" w:eastAsia="Arial" w:hAnsi="Arial"/>
          <w:color w:val="374151"/>
          <w:sz w:val="22"/>
          <w:szCs w:val="22"/>
        </w:rPr>
        <w:t xml:space="preserve">Before-and-after moments. The day a participant gets their ServSafe card. The first harvest. Graduation day. These are emotionally powerful and high-engagement.</w:t>
      </w:r>
    </w:p>
    <w:p>
      <w:pPr>
        <w:pStyle w:val="Heading2"/>
      </w:pPr>
      <w:r>
        <w:t xml:space="preserve">3.3 Five Content Ideas to Film This Week (Zero Budget)</w:t>
      </w:r>
    </w:p>
    <w:p>
      <w:pPr>
        <w:spacing w:after="200"/>
      </w:pPr>
      <w:r>
        <w:rPr>
          <w:rFonts w:ascii="Arial" w:cs="Arial" w:eastAsia="Arial" w:hAnsi="Arial"/>
          <w:color w:val="374151"/>
          <w:sz w:val="22"/>
          <w:szCs w:val="22"/>
        </w:rPr>
        <w:t xml:space="preserve">None of these require anything more than a smartphone and willing participants:</w:t>
      </w:r>
    </w:p>
    <w:p>
      <w:pPr>
        <w:pStyle w:val="ListParagraph"/>
        <w:numPr>
          <w:ilvl w:val="0"/>
          <w:numId w:val="3"/>
        </w:numPr>
        <w:spacing w:after="140"/>
      </w:pPr>
      <w:r>
        <w:rPr>
          <w:rFonts w:ascii="Arial" w:cs="Arial" w:eastAsia="Arial" w:hAnsi="Arial"/>
          <w:b/>
          <w:bCs/>
          <w:color w:val="374151"/>
          <w:sz w:val="22"/>
          <w:szCs w:val="22"/>
        </w:rPr>
        <w:t xml:space="preserve">“You can grow lettuce… without soil. Let me show you.” </w:t>
      </w:r>
      <w:r>
        <w:rPr>
          <w:rFonts w:ascii="Arial" w:cs="Arial" w:eastAsia="Arial" w:hAnsi="Arial"/>
          <w:color w:val="374151"/>
          <w:sz w:val="22"/>
          <w:szCs w:val="22"/>
        </w:rPr>
        <w:t xml:space="preserve">A 30-second TikTok where a participant walks the viewer through a hydroponic setup, explaining each step. Use a trending sound. Caption: “This is what we do at Growing America’s Youth. No cap.”</w:t>
      </w:r>
    </w:p>
    <w:p>
      <w:pPr>
        <w:pStyle w:val="ListParagraph"/>
        <w:numPr>
          <w:ilvl w:val="0"/>
          <w:numId w:val="3"/>
        </w:numPr>
        <w:spacing w:after="140"/>
      </w:pPr>
      <w:r>
        <w:rPr>
          <w:rFonts w:ascii="Arial" w:cs="Arial" w:eastAsia="Arial" w:hAnsi="Arial"/>
          <w:b/>
          <w:bCs/>
          <w:color w:val="374151"/>
          <w:sz w:val="22"/>
          <w:szCs w:val="22"/>
        </w:rPr>
        <w:t xml:space="preserve">“What I thought vs. what it actually is.” </w:t>
      </w:r>
      <w:r>
        <w:rPr>
          <w:rFonts w:ascii="Arial" w:cs="Arial" w:eastAsia="Arial" w:hAnsi="Arial"/>
          <w:color w:val="374151"/>
          <w:sz w:val="22"/>
          <w:szCs w:val="22"/>
        </w:rPr>
        <w:t xml:space="preserve">Split-screen format. Participant describes what they expected before joining versus what the experience actually was. Honest, funny, real. This format consistently trends on TikTok and Reels.</w:t>
      </w:r>
    </w:p>
    <w:p>
      <w:pPr>
        <w:pStyle w:val="ListParagraph"/>
        <w:numPr>
          <w:ilvl w:val="0"/>
          <w:numId w:val="3"/>
        </w:numPr>
        <w:spacing w:after="140"/>
      </w:pPr>
      <w:r>
        <w:rPr>
          <w:rFonts w:ascii="Arial" w:cs="Arial" w:eastAsia="Arial" w:hAnsi="Arial"/>
          <w:b/>
          <w:bCs/>
          <w:color w:val="374151"/>
          <w:sz w:val="22"/>
          <w:szCs w:val="22"/>
        </w:rPr>
        <w:t xml:space="preserve">“We grew this. Now we’re eating it.” </w:t>
      </w:r>
      <w:r>
        <w:rPr>
          <w:rFonts w:ascii="Arial" w:cs="Arial" w:eastAsia="Arial" w:hAnsi="Arial"/>
          <w:color w:val="374151"/>
          <w:sz w:val="22"/>
          <w:szCs w:val="22"/>
        </w:rPr>
        <w:t xml:space="preserve">Film the journey from hydroponic rack to plate. Show the produce being harvested, washed, and prepared into a simple meal. 45 seconds. The food content niche is enormous.</w:t>
      </w:r>
    </w:p>
    <w:p>
      <w:pPr>
        <w:pStyle w:val="ListParagraph"/>
        <w:numPr>
          <w:ilvl w:val="0"/>
          <w:numId w:val="3"/>
        </w:numPr>
        <w:spacing w:after="140"/>
      </w:pPr>
      <w:r>
        <w:rPr>
          <w:rFonts w:ascii="Arial" w:cs="Arial" w:eastAsia="Arial" w:hAnsi="Arial"/>
          <w:b/>
          <w:bCs/>
          <w:color w:val="374151"/>
          <w:sz w:val="22"/>
          <w:szCs w:val="22"/>
        </w:rPr>
        <w:t xml:space="preserve">“3 things I learned this week at GAY.” </w:t>
      </w:r>
      <w:r>
        <w:rPr>
          <w:rFonts w:ascii="Arial" w:cs="Arial" w:eastAsia="Arial" w:hAnsi="Arial"/>
          <w:color w:val="374151"/>
          <w:sz w:val="22"/>
          <w:szCs w:val="22"/>
        </w:rPr>
        <w:t xml:space="preserve">A weekly recurring format where a different participant shares three takeaways. Builds a library of authentic voices over time. Use the same caption template each week for brand consistency.</w:t>
      </w:r>
    </w:p>
    <w:p>
      <w:pPr>
        <w:pStyle w:val="ListParagraph"/>
        <w:numPr>
          <w:ilvl w:val="0"/>
          <w:numId w:val="3"/>
        </w:numPr>
        <w:spacing w:after="140"/>
      </w:pPr>
      <w:r>
        <w:rPr>
          <w:rFonts w:ascii="Arial" w:cs="Arial" w:eastAsia="Arial" w:hAnsi="Arial"/>
          <w:b/>
          <w:bCs/>
          <w:color w:val="374151"/>
          <w:sz w:val="22"/>
          <w:szCs w:val="22"/>
        </w:rPr>
        <w:t xml:space="preserve">“People don’t believe me when I tell them I get paid to garden.” </w:t>
      </w:r>
      <w:r>
        <w:rPr>
          <w:rFonts w:ascii="Arial" w:cs="Arial" w:eastAsia="Arial" w:hAnsi="Arial"/>
          <w:color w:val="374151"/>
          <w:sz w:val="22"/>
          <w:szCs w:val="22"/>
        </w:rPr>
        <w:t xml:space="preserve">A participant speaks directly to camera about the stipend, the certification, and the skills. Straightforward, no gimmick. End with “Link in bio to apply.” This is a direct recruitment video.</w:t>
      </w:r>
    </w:p>
    <w:p>
      <w:r>
        <w:br/>
      </w:r>
    </w:p>
    <w:p>
      <w:pPr>
        <w:pStyle w:val="Heading1"/>
      </w:pPr>
      <w:r>
        <w:t xml:space="preserve">4. Program Modernization</w:t>
      </w:r>
    </w:p>
    <w:p>
      <w:pPr>
        <w:spacing w:after="200"/>
      </w:pPr>
      <w:r>
        <w:rPr>
          <w:rFonts w:ascii="Arial" w:cs="Arial" w:eastAsia="Arial" w:hAnsi="Arial"/>
          <w:color w:val="374151"/>
          <w:sz w:val="22"/>
          <w:szCs w:val="22"/>
        </w:rPr>
        <w:t xml:space="preserve">The core program offering — hydroponic gardening, ServSafe certification, STEM skills, life skills, and career development — is strong. But to compete for the attention and commitment of today’s teens, the program needs to be wrapped in a modern package that connects to the things youth already care about.</w:t>
      </w:r>
    </w:p>
    <w:p>
      <w:pPr>
        <w:pStyle w:val="Heading2"/>
      </w:pPr>
      <w:r>
        <w:t xml:space="preserve">4.1 Features That Make Programs Magnetic to Teens</w:t>
      </w:r>
    </w:p>
    <w:p>
      <w:pPr>
        <w:pStyle w:val="ListParagraph"/>
        <w:numPr>
          <w:ilvl w:val="0"/>
          <w:numId w:val="2"/>
        </w:numPr>
        <w:spacing w:after="120"/>
      </w:pPr>
      <w:r>
        <w:rPr>
          <w:rFonts w:ascii="Arial" w:cs="Arial" w:eastAsia="Arial" w:hAnsi="Arial"/>
          <w:b/>
          <w:bCs/>
          <w:color w:val="374151"/>
          <w:sz w:val="22"/>
          <w:szCs w:val="22"/>
        </w:rPr>
        <w:t xml:space="preserve">Micro-credentials and digital badges: </w:t>
      </w:r>
      <w:r>
        <w:rPr>
          <w:rFonts w:ascii="Arial" w:cs="Arial" w:eastAsia="Arial" w:hAnsi="Arial"/>
          <w:color w:val="374151"/>
          <w:sz w:val="22"/>
          <w:szCs w:val="22"/>
        </w:rPr>
        <w:t xml:space="preserve">In addition to the ServSafe certification, create internal digital badges for completing modules (Hydroponics 101, Nutrition Fundamentals, STEM Lab). These can be shared on LinkedIn, Instagram, and resumes. Use a free platform like Credly or Badgr.</w:t>
      </w:r>
    </w:p>
    <w:p>
      <w:pPr>
        <w:pStyle w:val="ListParagraph"/>
        <w:numPr>
          <w:ilvl w:val="0"/>
          <w:numId w:val="2"/>
        </w:numPr>
        <w:spacing w:after="120"/>
      </w:pPr>
      <w:r>
        <w:rPr>
          <w:rFonts w:ascii="Arial" w:cs="Arial" w:eastAsia="Arial" w:hAnsi="Arial"/>
          <w:b/>
          <w:bCs/>
          <w:color w:val="374151"/>
          <w:sz w:val="22"/>
          <w:szCs w:val="22"/>
        </w:rPr>
        <w:t xml:space="preserve">Portfolio project: </w:t>
      </w:r>
      <w:r>
        <w:rPr>
          <w:rFonts w:ascii="Arial" w:cs="Arial" w:eastAsia="Arial" w:hAnsi="Arial"/>
          <w:color w:val="374151"/>
          <w:sz w:val="22"/>
          <w:szCs w:val="22"/>
        </w:rPr>
        <w:t xml:space="preserve">Every participant should leave with a tangible portfolio piece — a documented grow cycle with photos and data, a short video they produced, or a business plan for a micro-farm. This is something they can show to a future employer, school, or program.</w:t>
      </w:r>
    </w:p>
    <w:p>
      <w:pPr>
        <w:pStyle w:val="ListParagraph"/>
        <w:numPr>
          <w:ilvl w:val="0"/>
          <w:numId w:val="2"/>
        </w:numPr>
        <w:spacing w:after="120"/>
      </w:pPr>
      <w:r>
        <w:rPr>
          <w:rFonts w:ascii="Arial" w:cs="Arial" w:eastAsia="Arial" w:hAnsi="Arial"/>
          <w:b/>
          <w:bCs/>
          <w:color w:val="374151"/>
          <w:sz w:val="22"/>
          <w:szCs w:val="22"/>
        </w:rPr>
        <w:t xml:space="preserve">Cohort identity: </w:t>
      </w:r>
      <w:r>
        <w:rPr>
          <w:rFonts w:ascii="Arial" w:cs="Arial" w:eastAsia="Arial" w:hAnsi="Arial"/>
          <w:color w:val="374151"/>
          <w:sz w:val="22"/>
          <w:szCs w:val="22"/>
        </w:rPr>
        <w:t xml:space="preserve">Give each summer cohort a name, a color, and a sense of team identity. Create simple branded merchandise (a T-shirt with the cohort name and year). This builds belonging and gives participants something to wear that signals their membership to peers.</w:t>
      </w:r>
    </w:p>
    <w:p>
      <w:pPr>
        <w:pStyle w:val="ListParagraph"/>
        <w:numPr>
          <w:ilvl w:val="0"/>
          <w:numId w:val="2"/>
        </w:numPr>
        <w:spacing w:after="120"/>
      </w:pPr>
      <w:r>
        <w:rPr>
          <w:rFonts w:ascii="Arial" w:cs="Arial" w:eastAsia="Arial" w:hAnsi="Arial"/>
          <w:b/>
          <w:bCs/>
          <w:color w:val="374151"/>
          <w:sz w:val="22"/>
          <w:szCs w:val="22"/>
        </w:rPr>
        <w:t xml:space="preserve">Guest speakers and field trips: </w:t>
      </w:r>
      <w:r>
        <w:rPr>
          <w:rFonts w:ascii="Arial" w:cs="Arial" w:eastAsia="Arial" w:hAnsi="Arial"/>
          <w:color w:val="374151"/>
          <w:sz w:val="22"/>
          <w:szCs w:val="22"/>
        </w:rPr>
        <w:t xml:space="preserve">Bring in a chef from a Baltimore restaurant who uses local produce. Visit a commercial hydroponic farm. Connect with University of Maryland Extension programs. Give participants a sense of the industry beyond the classroom.</w:t>
      </w:r>
    </w:p>
    <w:p>
      <w:pPr>
        <w:pStyle w:val="ListParagraph"/>
        <w:numPr>
          <w:ilvl w:val="0"/>
          <w:numId w:val="2"/>
        </w:numPr>
        <w:spacing w:after="120"/>
      </w:pPr>
      <w:r>
        <w:rPr>
          <w:rFonts w:ascii="Arial" w:cs="Arial" w:eastAsia="Arial" w:hAnsi="Arial"/>
          <w:b/>
          <w:bCs/>
          <w:color w:val="374151"/>
          <w:sz w:val="22"/>
          <w:szCs w:val="22"/>
        </w:rPr>
        <w:t xml:space="preserve">Graduation event: </w:t>
      </w:r>
      <w:r>
        <w:rPr>
          <w:rFonts w:ascii="Arial" w:cs="Arial" w:eastAsia="Arial" w:hAnsi="Arial"/>
          <w:color w:val="374151"/>
          <w:sz w:val="22"/>
          <w:szCs w:val="22"/>
        </w:rPr>
        <w:t xml:space="preserve">End each cohort with a real event — a meal cooked from produce the participants grew, certificates presented, family invited, photos taken. This is a milestone moment that generates content, builds community, and gives parents a reason to invest trust in the organization.</w:t>
      </w:r>
    </w:p>
    <w:p>
      <w:pPr>
        <w:pStyle w:val="Heading2"/>
      </w:pPr>
      <w:r>
        <w:t xml:space="preserve">4.2 Connecting to Trending Youth Interests</w:t>
      </w:r>
    </w:p>
    <w:p>
      <w:pPr>
        <w:spacing w:after="200"/>
      </w:pPr>
      <w:r>
        <w:rPr>
          <w:rFonts w:ascii="Arial" w:cs="Arial" w:eastAsia="Arial" w:hAnsi="Arial"/>
          <w:color w:val="374151"/>
          <w:sz w:val="22"/>
          <w:szCs w:val="22"/>
        </w:rPr>
        <w:t xml:space="preserve">Hydroponics and food science sit at the intersection of several trends that Gen Z is deeply engaged with. The program should explicitly draw these connections:</w:t>
      </w:r>
    </w:p>
    <w:p>
      <w:pPr>
        <w:spacing w:after="200"/>
      </w:pPr>
      <w:r>
        <w:rPr>
          <w:rFonts w:ascii="Arial" w:cs="Arial" w:eastAsia="Arial" w:hAnsi="Arial"/>
          <w:b/>
          <w:bCs/>
          <w:color w:val="374151"/>
          <w:sz w:val="22"/>
          <w:szCs w:val="22"/>
        </w:rPr>
        <w:t xml:space="preserve">Sustainability and climate: </w:t>
      </w:r>
      <w:r>
        <w:rPr>
          <w:rFonts w:ascii="Arial" w:cs="Arial" w:eastAsia="Arial" w:hAnsi="Arial"/>
          <w:color w:val="374151"/>
          <w:sz w:val="22"/>
          <w:szCs w:val="22"/>
        </w:rPr>
        <w:t xml:space="preserve">Hydroponics uses up to 90% less water than traditional agriculture and eliminates the need for soil and most pesticides. Frame this as climate action. Young people care deeply about environmental justice, and urban farming in Baltimore is a direct response to food deserts and supply chain fragility. Add a module on the carbon footprint of food systems, food miles, and how local growing reduces environmental impact.</w:t>
      </w:r>
    </w:p>
    <w:p>
      <w:pPr>
        <w:spacing w:after="200"/>
      </w:pPr>
      <w:r>
        <w:rPr>
          <w:rFonts w:ascii="Arial" w:cs="Arial" w:eastAsia="Arial" w:hAnsi="Arial"/>
          <w:b/>
          <w:bCs/>
          <w:color w:val="374151"/>
          <w:sz w:val="22"/>
          <w:szCs w:val="22"/>
        </w:rPr>
        <w:t xml:space="preserve">Cooking culture and food content: </w:t>
      </w:r>
      <w:r>
        <w:rPr>
          <w:rFonts w:ascii="Arial" w:cs="Arial" w:eastAsia="Arial" w:hAnsi="Arial"/>
          <w:color w:val="374151"/>
          <w:sz w:val="22"/>
          <w:szCs w:val="22"/>
        </w:rPr>
        <w:t xml:space="preserve">Food is one of the most popular content categories on every social media platform. Integrate cooking workshops into the program — not just food safety, but actual recipe development using hydroponically grown produce. Partner with local chefs. Position participants as creators, not just consumers, of food culture.</w:t>
      </w:r>
    </w:p>
    <w:p>
      <w:pPr>
        <w:spacing w:after="200"/>
      </w:pPr>
      <w:r>
        <w:rPr>
          <w:rFonts w:ascii="Arial" w:cs="Arial" w:eastAsia="Arial" w:hAnsi="Arial"/>
          <w:b/>
          <w:bCs/>
          <w:color w:val="374151"/>
          <w:sz w:val="22"/>
          <w:szCs w:val="22"/>
        </w:rPr>
        <w:t xml:space="preserve">Entrepreneurship: </w:t>
      </w:r>
      <w:r>
        <w:rPr>
          <w:rFonts w:ascii="Arial" w:cs="Arial" w:eastAsia="Arial" w:hAnsi="Arial"/>
          <w:color w:val="374151"/>
          <w:sz w:val="22"/>
          <w:szCs w:val="22"/>
        </w:rPr>
        <w:t xml:space="preserve">Add a module on the business of urban farming. How do you start a micro-greens business? What does it cost to set up a home hydroponic system? How do you sell at a farmers’ market? Help participants create a simple business plan. This connects directly to the growing interest in side hustles and youth entrepreneurship.</w:t>
      </w:r>
    </w:p>
    <w:p>
      <w:pPr>
        <w:spacing w:after="200"/>
      </w:pPr>
      <w:r>
        <w:rPr>
          <w:rFonts w:ascii="Arial" w:cs="Arial" w:eastAsia="Arial" w:hAnsi="Arial"/>
          <w:b/>
          <w:bCs/>
          <w:color w:val="374151"/>
          <w:sz w:val="22"/>
          <w:szCs w:val="22"/>
        </w:rPr>
        <w:t xml:space="preserve">Health and wellness: </w:t>
      </w:r>
      <w:r>
        <w:rPr>
          <w:rFonts w:ascii="Arial" w:cs="Arial" w:eastAsia="Arial" w:hAnsi="Arial"/>
          <w:color w:val="374151"/>
          <w:sz w:val="22"/>
          <w:szCs w:val="22"/>
        </w:rPr>
        <w:t xml:space="preserve">Gen Z is more health-conscious than prior generations, but they also navigate food deserts, fast food culture, and nutritional misinformation. Position the nutrition education component not as a lecture but as empowerment — understanding what’s in your food and having the power to grow what nourishes you.</w:t>
      </w:r>
    </w:p>
    <w:p>
      <w:pPr>
        <w:pStyle w:val="Heading2"/>
      </w:pPr>
      <w:r>
        <w:t xml:space="preserve">4.3 Digital and Tech Components</w:t>
      </w:r>
    </w:p>
    <w:p>
      <w:pPr>
        <w:spacing w:after="200"/>
      </w:pPr>
      <w:r>
        <w:rPr>
          <w:rFonts w:ascii="Arial" w:cs="Arial" w:eastAsia="Arial" w:hAnsi="Arial"/>
          <w:color w:val="374151"/>
          <w:sz w:val="22"/>
          <w:szCs w:val="22"/>
        </w:rPr>
        <w:t xml:space="preserve">Technology should extend the program experience beyond the physical space:</w:t>
      </w:r>
    </w:p>
    <w:p>
      <w:pPr>
        <w:pStyle w:val="ListParagraph"/>
        <w:numPr>
          <w:ilvl w:val="0"/>
          <w:numId w:val="2"/>
        </w:numPr>
        <w:spacing w:after="120"/>
      </w:pPr>
      <w:r>
        <w:rPr>
          <w:rFonts w:ascii="Arial" w:cs="Arial" w:eastAsia="Arial" w:hAnsi="Arial"/>
          <w:b/>
          <w:bCs/>
          <w:color w:val="374151"/>
          <w:sz w:val="22"/>
          <w:szCs w:val="22"/>
        </w:rPr>
        <w:t xml:space="preserve">Discord server: </w:t>
      </w:r>
      <w:r>
        <w:rPr>
          <w:rFonts w:ascii="Arial" w:cs="Arial" w:eastAsia="Arial" w:hAnsi="Arial"/>
          <w:color w:val="374151"/>
          <w:sz w:val="22"/>
          <w:szCs w:val="22"/>
        </w:rPr>
        <w:t xml:space="preserve">Create a free Discord community for current participants and alumni. Channels for hydroponic tips, job postings, homework help, memes, and general chat. This gives participants a reason to stay connected after the program ends and creates a peer network. Discord is widely used by teens, especially in Black and urban communities.</w:t>
      </w:r>
    </w:p>
    <w:p>
      <w:pPr>
        <w:pStyle w:val="ListParagraph"/>
        <w:numPr>
          <w:ilvl w:val="0"/>
          <w:numId w:val="2"/>
        </w:numPr>
        <w:spacing w:after="120"/>
      </w:pPr>
      <w:r>
        <w:rPr>
          <w:rFonts w:ascii="Arial" w:cs="Arial" w:eastAsia="Arial" w:hAnsi="Arial"/>
          <w:b/>
          <w:bCs/>
          <w:color w:val="374151"/>
          <w:sz w:val="22"/>
          <w:szCs w:val="22"/>
        </w:rPr>
        <w:t xml:space="preserve">YouTube channel: </w:t>
      </w:r>
      <w:r>
        <w:rPr>
          <w:rFonts w:ascii="Arial" w:cs="Arial" w:eastAsia="Arial" w:hAnsi="Arial"/>
          <w:color w:val="374151"/>
          <w:sz w:val="22"/>
          <w:szCs w:val="22"/>
        </w:rPr>
        <w:t xml:space="preserve">A branded channel for longer-form content: full program walkthroughs, 5-minute mini-documentaries about participants, how-to series on hydroponics. YouTube is the most widely used platform among teens (95%), and video content has the longest shelf life of any format.</w:t>
      </w:r>
    </w:p>
    <w:p>
      <w:pPr>
        <w:pStyle w:val="ListParagraph"/>
        <w:numPr>
          <w:ilvl w:val="0"/>
          <w:numId w:val="2"/>
        </w:numPr>
        <w:spacing w:after="120"/>
      </w:pPr>
      <w:r>
        <w:rPr>
          <w:rFonts w:ascii="Arial" w:cs="Arial" w:eastAsia="Arial" w:hAnsi="Arial"/>
          <w:b/>
          <w:bCs/>
          <w:color w:val="374151"/>
          <w:sz w:val="22"/>
          <w:szCs w:val="22"/>
        </w:rPr>
        <w:t xml:space="preserve">Grow tracker app or dashboard: </w:t>
      </w:r>
      <w:r>
        <w:rPr>
          <w:rFonts w:ascii="Arial" w:cs="Arial" w:eastAsia="Arial" w:hAnsi="Arial"/>
          <w:color w:val="374151"/>
          <w:sz w:val="22"/>
          <w:szCs w:val="22"/>
        </w:rPr>
        <w:t xml:space="preserve">Even a simple shared Google Sheet or Notion board where participants log their plant growth data (pH levels, nutrient concentration, height, yield) adds a STEM/data-science dimension and gives participants a digital artifact of their work. A dedicated app is aspirational but not necessary at this stage.</w:t>
      </w:r>
    </w:p>
    <w:p>
      <w:pPr>
        <w:pStyle w:val="ListParagraph"/>
        <w:numPr>
          <w:ilvl w:val="0"/>
          <w:numId w:val="2"/>
        </w:numPr>
        <w:spacing w:after="120"/>
      </w:pPr>
      <w:r>
        <w:rPr>
          <w:rFonts w:ascii="Arial" w:cs="Arial" w:eastAsia="Arial" w:hAnsi="Arial"/>
          <w:b/>
          <w:bCs/>
          <w:color w:val="374151"/>
          <w:sz w:val="22"/>
          <w:szCs w:val="22"/>
        </w:rPr>
        <w:t xml:space="preserve">Digital media skills module: </w:t>
      </w:r>
      <w:r>
        <w:rPr>
          <w:rFonts w:ascii="Arial" w:cs="Arial" w:eastAsia="Arial" w:hAnsi="Arial"/>
          <w:color w:val="374151"/>
          <w:sz w:val="22"/>
          <w:szCs w:val="22"/>
        </w:rPr>
        <w:t xml:space="preserve">Teach participants basic video editing, social media content creation, and graphic design as part of the program. They produce content for the organization’s channels as a real-world project. This gives them a marketable skill and solves the organization’s content production challenge simultaneously.</w:t>
      </w:r>
    </w:p>
    <w:p>
      <w:r>
        <w:br/>
      </w:r>
    </w:p>
    <w:p>
      <w:pPr>
        <w:pStyle w:val="Heading1"/>
      </w:pPr>
      <w:r>
        <w:t xml:space="preserve">5. Fundraising &amp; Partnerships</w:t>
      </w:r>
    </w:p>
    <w:p>
      <w:pPr>
        <w:spacing w:after="200"/>
      </w:pPr>
      <w:r>
        <w:rPr>
          <w:rFonts w:ascii="Arial" w:cs="Arial" w:eastAsia="Arial" w:hAnsi="Arial"/>
          <w:color w:val="374151"/>
          <w:sz w:val="22"/>
          <w:szCs w:val="22"/>
        </w:rPr>
        <w:t xml:space="preserve">Traditional nonprofit fundraising — galas, direct mail, and foundation grants — remains important, but it is not sufficient for an organization that wants to grow rapidly and build genuine community investment. Here is a modern fundraising framework.</w:t>
      </w:r>
    </w:p>
    <w:p>
      <w:pPr>
        <w:pStyle w:val="Heading2"/>
      </w:pPr>
      <w:r>
        <w:t xml:space="preserve">5.1 Modern Fundraising Approaches</w:t>
      </w:r>
    </w:p>
    <w:p>
      <w:pPr>
        <w:spacing w:after="200"/>
      </w:pPr>
      <w:r>
        <w:rPr>
          <w:rFonts w:ascii="Arial" w:cs="Arial" w:eastAsia="Arial" w:hAnsi="Arial"/>
          <w:b/>
          <w:bCs/>
          <w:color w:val="374151"/>
          <w:sz w:val="22"/>
          <w:szCs w:val="22"/>
        </w:rPr>
        <w:t xml:space="preserve">Peer-to-peer fundraising: </w:t>
      </w:r>
      <w:r>
        <w:rPr>
          <w:rFonts w:ascii="Arial" w:cs="Arial" w:eastAsia="Arial" w:hAnsi="Arial"/>
          <w:color w:val="374151"/>
          <w:sz w:val="22"/>
          <w:szCs w:val="22"/>
        </w:rPr>
        <w:t xml:space="preserve">Platforms like GoFundMe Charity, GiveButter, or Classy allow supporters to create their own fundraising pages on behalf of GAY. A board member, a participant’s parent, or an alumni can each have their own page with a personal story and a goal. This multiplies your reach exponentially because each fundraiser shares with their own network. Launch a campaign tied to a specific milestone: “Help us fund 50 hydroponic grow kits for this summer’s cohort.”</w:t>
      </w:r>
    </w:p>
    <w:p>
      <w:pPr>
        <w:spacing w:after="200"/>
      </w:pPr>
      <w:r>
        <w:rPr>
          <w:rFonts w:ascii="Arial" w:cs="Arial" w:eastAsia="Arial" w:hAnsi="Arial"/>
          <w:b/>
          <w:bCs/>
          <w:color w:val="374151"/>
          <w:sz w:val="22"/>
          <w:szCs w:val="22"/>
        </w:rPr>
        <w:t xml:space="preserve">Recurring micro-donations: </w:t>
      </w:r>
      <w:r>
        <w:rPr>
          <w:rFonts w:ascii="Arial" w:cs="Arial" w:eastAsia="Arial" w:hAnsi="Arial"/>
          <w:color w:val="374151"/>
          <w:sz w:val="22"/>
          <w:szCs w:val="22"/>
        </w:rPr>
        <w:t xml:space="preserve">Make it easy to give $5 or $10 per month. Frame the ask in tangible terms: “$10/month keeps one hydroponic grow station running for a year.” Use a modern giving platform (GiveButter is particularly youth-friendly in design) and promote it on social media. Recurring donors are more valuable than one-time gifts over the long term.</w:t>
      </w:r>
    </w:p>
    <w:p>
      <w:pPr>
        <w:spacing w:after="200"/>
      </w:pPr>
      <w:r>
        <w:rPr>
          <w:rFonts w:ascii="Arial" w:cs="Arial" w:eastAsia="Arial" w:hAnsi="Arial"/>
          <w:b/>
          <w:bCs/>
          <w:color w:val="374151"/>
          <w:sz w:val="22"/>
          <w:szCs w:val="22"/>
        </w:rPr>
        <w:t xml:space="preserve">Cause marketing and creator partnerships: </w:t>
      </w:r>
      <w:r>
        <w:rPr>
          <w:rFonts w:ascii="Arial" w:cs="Arial" w:eastAsia="Arial" w:hAnsi="Arial"/>
          <w:color w:val="374151"/>
          <w:sz w:val="22"/>
          <w:szCs w:val="22"/>
        </w:rPr>
        <w:t xml:space="preserve">Identify Baltimore-based content creators, food bloggers, and micro-influencers who align with the mission. A local food TikToker with 20,000 followers can drive more awareness than a press release. Propose a collaboration: they visit the program, film a video, and their audience gets to see where food actually comes from. This costs nothing and generates authentic content.</w:t>
      </w:r>
    </w:p>
    <w:p>
      <w:pPr>
        <w:spacing w:after="200"/>
      </w:pPr>
      <w:r>
        <w:rPr>
          <w:rFonts w:ascii="Arial" w:cs="Arial" w:eastAsia="Arial" w:hAnsi="Arial"/>
          <w:b/>
          <w:bCs/>
          <w:color w:val="374151"/>
          <w:sz w:val="22"/>
          <w:szCs w:val="22"/>
        </w:rPr>
        <w:t xml:space="preserve">Employer matching and workplace giving: </w:t>
      </w:r>
      <w:r>
        <w:rPr>
          <w:rFonts w:ascii="Arial" w:cs="Arial" w:eastAsia="Arial" w:hAnsi="Arial"/>
          <w:color w:val="374151"/>
          <w:sz w:val="22"/>
          <w:szCs w:val="22"/>
        </w:rPr>
        <w:t xml:space="preserve">Many Baltimore-area employers (Johns Hopkins, T. Rowe Price, Under Armour, CareFirst) have employee matching gift programs and corporate volunteer days. Make it easy for employees to find GAY on their matching platforms. Create a one-page corporate partnership packet.</w:t>
      </w:r>
    </w:p>
    <w:p>
      <w:pPr>
        <w:spacing w:after="200"/>
      </w:pPr>
      <w:r>
        <w:rPr>
          <w:rFonts w:ascii="Arial" w:cs="Arial" w:eastAsia="Arial" w:hAnsi="Arial"/>
          <w:b/>
          <w:bCs/>
          <w:color w:val="374151"/>
          <w:sz w:val="22"/>
          <w:szCs w:val="22"/>
        </w:rPr>
        <w:t xml:space="preserve">Storytelling-driven email campaigns: </w:t>
      </w:r>
      <w:r>
        <w:rPr>
          <w:rFonts w:ascii="Arial" w:cs="Arial" w:eastAsia="Arial" w:hAnsi="Arial"/>
          <w:color w:val="374151"/>
          <w:sz w:val="22"/>
          <w:szCs w:val="22"/>
        </w:rPr>
        <w:t xml:space="preserve">Build an email list (starting with current donors, parents, volunteers, and alumni) and send a monthly email that tells one participant’s story. Not a newsletter — a story. One person, one arc, one specific ask. Use Mailchimp or ConvertKit’s free tier.</w:t>
      </w:r>
    </w:p>
    <w:p>
      <w:pPr>
        <w:pStyle w:val="Heading2"/>
      </w:pPr>
      <w:r>
        <w:t xml:space="preserve">5.2 Natural Corporate &amp; Brand Partners</w:t>
      </w:r>
    </w:p>
    <w:p>
      <w:pPr>
        <w:spacing w:after="200"/>
      </w:pPr>
      <w:r>
        <w:rPr>
          <w:rFonts w:ascii="Arial" w:cs="Arial" w:eastAsia="Arial" w:hAnsi="Arial"/>
          <w:color w:val="374151"/>
          <w:sz w:val="22"/>
          <w:szCs w:val="22"/>
        </w:rPr>
        <w:t xml:space="preserve">The following types of companies and specific organizations are natural partnership targets for GAY, given its focus on hydroponics, food, STEM, and youth development in Baltimore:</w:t>
      </w:r>
    </w:p>
    <w:p>
      <w:pPr>
        <w:spacing w:after="200"/>
      </w:pPr>
      <w:r>
        <w:rPr>
          <w:rFonts w:ascii="Arial" w:cs="Arial" w:eastAsia="Arial" w:hAnsi="Arial"/>
          <w:b/>
          <w:bCs/>
          <w:color w:val="374151"/>
          <w:sz w:val="22"/>
          <w:szCs w:val="22"/>
        </w:rPr>
        <w:t xml:space="preserve">Hydroponic and agricultural technology companies: </w:t>
      </w:r>
      <w:r>
        <w:rPr>
          <w:rFonts w:ascii="Arial" w:cs="Arial" w:eastAsia="Arial" w:hAnsi="Arial"/>
          <w:color w:val="374151"/>
          <w:sz w:val="22"/>
          <w:szCs w:val="22"/>
        </w:rPr>
        <w:t xml:space="preserve">AeroFarms, Bowery Farming, Gotham Greens, Plenty Unlimited, General Hydroponics. These companies have corporate social responsibility budgets, equipment they can donate or discount, and a vested interest in developing the next generation of agricultural technologists. A partnership could include donated grow systems, mentorship from their team, or co-branded educational content.</w:t>
      </w:r>
    </w:p>
    <w:p>
      <w:pPr>
        <w:spacing w:after="200"/>
      </w:pPr>
      <w:r>
        <w:rPr>
          <w:rFonts w:ascii="Arial" w:cs="Arial" w:eastAsia="Arial" w:hAnsi="Arial"/>
          <w:b/>
          <w:bCs/>
          <w:color w:val="374151"/>
          <w:sz w:val="22"/>
          <w:szCs w:val="22"/>
        </w:rPr>
        <w:t xml:space="preserve">Food and grocery brands: </w:t>
      </w:r>
      <w:r>
        <w:rPr>
          <w:rFonts w:ascii="Arial" w:cs="Arial" w:eastAsia="Arial" w:hAnsi="Arial"/>
          <w:color w:val="374151"/>
          <w:sz w:val="22"/>
          <w:szCs w:val="22"/>
        </w:rPr>
        <w:t xml:space="preserve">Whole Foods Market (which has a strong local sourcing ethos and community giving programs), Sweetgreen (focused on food access), Chipotle (which has a stated commitment to sustainable agriculture and youth development), and Baltimore-area food cooperatives. These brands benefit from association with food equity and urban agriculture initiatives.</w:t>
      </w:r>
    </w:p>
    <w:p>
      <w:pPr>
        <w:spacing w:after="200"/>
      </w:pPr>
      <w:r>
        <w:rPr>
          <w:rFonts w:ascii="Arial" w:cs="Arial" w:eastAsia="Arial" w:hAnsi="Arial"/>
          <w:b/>
          <w:bCs/>
          <w:color w:val="374151"/>
          <w:sz w:val="22"/>
          <w:szCs w:val="22"/>
        </w:rPr>
        <w:t xml:space="preserve">Baltimore-area employers and institutions: </w:t>
      </w:r>
      <w:r>
        <w:rPr>
          <w:rFonts w:ascii="Arial" w:cs="Arial" w:eastAsia="Arial" w:hAnsi="Arial"/>
          <w:color w:val="374151"/>
          <w:sz w:val="22"/>
          <w:szCs w:val="22"/>
        </w:rPr>
        <w:t xml:space="preserve">Johns Hopkins University and Health System (STEM pipeline, community benefit obligations), University of Maryland Baltimore County, Morgan State University, T. Rowe Price Foundation, the Annie E. Casey Foundation (headquartered in Baltimore with a focus on youth outcomes), Baltimore Community Foundation, and the Abell Foundation. These institutions actively fund youth-serving organizations in Baltimore City.</w:t>
      </w:r>
    </w:p>
    <w:p>
      <w:pPr>
        <w:spacing w:after="200"/>
      </w:pPr>
      <w:r>
        <w:rPr>
          <w:rFonts w:ascii="Arial" w:cs="Arial" w:eastAsia="Arial" w:hAnsi="Arial"/>
          <w:b/>
          <w:bCs/>
          <w:color w:val="374151"/>
          <w:sz w:val="22"/>
          <w:szCs w:val="22"/>
        </w:rPr>
        <w:t xml:space="preserve">Technology companies with education arms: </w:t>
      </w:r>
      <w:r>
        <w:rPr>
          <w:rFonts w:ascii="Arial" w:cs="Arial" w:eastAsia="Arial" w:hAnsi="Arial"/>
          <w:color w:val="374151"/>
          <w:sz w:val="22"/>
          <w:szCs w:val="22"/>
        </w:rPr>
        <w:t xml:space="preserve">Google.org, Microsoft Philanthropies, Salesforce.org, and Amazon Future Engineer all fund STEM education for underserved youth. The STEM component of GAY’s programming makes them eligible for grants and in-kind support from these programs.</w:t>
      </w:r>
    </w:p>
    <w:p>
      <w:pPr>
        <w:spacing w:after="200"/>
      </w:pPr>
      <w:r>
        <w:rPr>
          <w:rFonts w:ascii="Arial" w:cs="Arial" w:eastAsia="Arial" w:hAnsi="Arial"/>
          <w:b/>
          <w:bCs/>
          <w:color w:val="374151"/>
          <w:sz w:val="22"/>
          <w:szCs w:val="22"/>
        </w:rPr>
        <w:t xml:space="preserve">Local restaurants and chefs: </w:t>
      </w:r>
      <w:r>
        <w:rPr>
          <w:rFonts w:ascii="Arial" w:cs="Arial" w:eastAsia="Arial" w:hAnsi="Arial"/>
          <w:color w:val="374151"/>
          <w:sz w:val="22"/>
          <w:szCs w:val="22"/>
        </w:rPr>
        <w:t xml:space="preserve">Baltimore’s restaurant scene includes chefs who are vocal about food equity and local sourcing. Pursue partnerships where participants visit restaurant kitchens, chefs guest-teach cooking sessions, or restaurants source a small amount of produce from GAY’s hydroponic systems. This creates a real supply chain connection and powerful storytelling material.</w:t>
      </w:r>
    </w:p>
    <w:p>
      <w:r>
        <w:br/>
      </w:r>
    </w:p>
    <w:p>
      <w:pPr>
        <w:pStyle w:val="Heading1"/>
      </w:pPr>
      <w:r>
        <w:t xml:space="preserve">6. Implementation Roadmap</w:t>
      </w:r>
    </w:p>
    <w:p>
      <w:pPr>
        <w:spacing w:after="200"/>
      </w:pPr>
      <w:r>
        <w:rPr>
          <w:rFonts w:ascii="Arial" w:cs="Arial" w:eastAsia="Arial" w:hAnsi="Arial"/>
          <w:color w:val="374151"/>
          <w:sz w:val="22"/>
          <w:szCs w:val="22"/>
        </w:rPr>
        <w:t xml:space="preserve">This is a phased approach designed for a lean organization. Not everything needs to happen at once. Here is the recommended sequencing:</w:t>
      </w:r>
    </w:p>
    <w:p>
      <w:pPr>
        <w:pStyle w:val="Heading2"/>
      </w:pPr>
      <w:r>
        <w:t xml:space="preserve">Phase 1: Foundation (Weeks 1–4)</w:t>
      </w:r>
    </w:p>
    <w:p>
      <w:pPr>
        <w:pStyle w:val="ListParagraph"/>
        <w:numPr>
          <w:ilvl w:val="0"/>
          <w:numId w:val="2"/>
        </w:numPr>
        <w:spacing w:after="100"/>
      </w:pPr>
      <w:r>
        <w:rPr>
          <w:rFonts w:ascii="Arial" w:cs="Arial" w:eastAsia="Arial" w:hAnsi="Arial"/>
          <w:color w:val="374151"/>
          <w:sz w:val="22"/>
          <w:szCs w:val="22"/>
        </w:rPr>
        <w:t xml:space="preserve">Rewrite all website copy using the messaging framework in Section 2. Prioritize the homepage and Programs page.</w:t>
      </w:r>
    </w:p>
    <w:p>
      <w:pPr>
        <w:pStyle w:val="ListParagraph"/>
        <w:numPr>
          <w:ilvl w:val="0"/>
          <w:numId w:val="2"/>
        </w:numPr>
        <w:spacing w:after="100"/>
      </w:pPr>
      <w:r>
        <w:rPr>
          <w:rFonts w:ascii="Arial" w:cs="Arial" w:eastAsia="Arial" w:hAnsi="Arial"/>
          <w:color w:val="374151"/>
          <w:sz w:val="22"/>
          <w:szCs w:val="22"/>
        </w:rPr>
        <w:t xml:space="preserve">Set up Instagram and TikTok accounts with consistent branding (profile photo, bio using the new tagline, link to website).</w:t>
      </w:r>
    </w:p>
    <w:p>
      <w:pPr>
        <w:pStyle w:val="ListParagraph"/>
        <w:numPr>
          <w:ilvl w:val="0"/>
          <w:numId w:val="2"/>
        </w:numPr>
        <w:spacing w:after="100"/>
      </w:pPr>
      <w:r>
        <w:rPr>
          <w:rFonts w:ascii="Arial" w:cs="Arial" w:eastAsia="Arial" w:hAnsi="Arial"/>
          <w:color w:val="374151"/>
          <w:sz w:val="22"/>
          <w:szCs w:val="22"/>
        </w:rPr>
        <w:t xml:space="preserve">Film and post the first 5 content pieces described in Section 3.3.</w:t>
      </w:r>
    </w:p>
    <w:p>
      <w:pPr>
        <w:pStyle w:val="ListParagraph"/>
        <w:numPr>
          <w:ilvl w:val="0"/>
          <w:numId w:val="2"/>
        </w:numPr>
        <w:spacing w:after="100"/>
      </w:pPr>
      <w:r>
        <w:rPr>
          <w:rFonts w:ascii="Arial" w:cs="Arial" w:eastAsia="Arial" w:hAnsi="Arial"/>
          <w:color w:val="374151"/>
          <w:sz w:val="22"/>
          <w:szCs w:val="22"/>
        </w:rPr>
        <w:t xml:space="preserve">Collect photo and video releases from current participants.</w:t>
      </w:r>
    </w:p>
    <w:p>
      <w:pPr>
        <w:pStyle w:val="ListParagraph"/>
        <w:numPr>
          <w:ilvl w:val="0"/>
          <w:numId w:val="2"/>
        </w:numPr>
        <w:spacing w:after="100"/>
      </w:pPr>
      <w:r>
        <w:rPr>
          <w:rFonts w:ascii="Arial" w:cs="Arial" w:eastAsia="Arial" w:hAnsi="Arial"/>
          <w:color w:val="374151"/>
          <w:sz w:val="22"/>
          <w:szCs w:val="22"/>
        </w:rPr>
        <w:t xml:space="preserve">Recruit 2–3 youth advisors to review content before it goes live.</w:t>
      </w:r>
    </w:p>
    <w:p>
      <w:pPr>
        <w:pStyle w:val="Heading2"/>
      </w:pPr>
      <w:r>
        <w:t xml:space="preserve">Phase 2: Build (Weeks 5–12)</w:t>
      </w:r>
    </w:p>
    <w:p>
      <w:pPr>
        <w:pStyle w:val="ListParagraph"/>
        <w:numPr>
          <w:ilvl w:val="0"/>
          <w:numId w:val="2"/>
        </w:numPr>
        <w:spacing w:after="100"/>
      </w:pPr>
      <w:r>
        <w:rPr>
          <w:rFonts w:ascii="Arial" w:cs="Arial" w:eastAsia="Arial" w:hAnsi="Arial"/>
          <w:color w:val="374151"/>
          <w:sz w:val="22"/>
          <w:szCs w:val="22"/>
        </w:rPr>
        <w:t xml:space="preserve">Launch the full website redesign (consider Squarespace or Webflow for ease of maintenance by non-technical staff).</w:t>
      </w:r>
    </w:p>
    <w:p>
      <w:pPr>
        <w:pStyle w:val="ListParagraph"/>
        <w:numPr>
          <w:ilvl w:val="0"/>
          <w:numId w:val="2"/>
        </w:numPr>
        <w:spacing w:after="100"/>
      </w:pPr>
      <w:r>
        <w:rPr>
          <w:rFonts w:ascii="Arial" w:cs="Arial" w:eastAsia="Arial" w:hAnsi="Arial"/>
          <w:color w:val="374151"/>
          <w:sz w:val="22"/>
          <w:szCs w:val="22"/>
        </w:rPr>
        <w:t xml:space="preserve">Establish a weekly social media posting cadence: 3 posts per week minimum across TikTok and Instagram.</w:t>
      </w:r>
    </w:p>
    <w:p>
      <w:pPr>
        <w:pStyle w:val="ListParagraph"/>
        <w:numPr>
          <w:ilvl w:val="0"/>
          <w:numId w:val="2"/>
        </w:numPr>
        <w:spacing w:after="100"/>
      </w:pPr>
      <w:r>
        <w:rPr>
          <w:rFonts w:ascii="Arial" w:cs="Arial" w:eastAsia="Arial" w:hAnsi="Arial"/>
          <w:color w:val="374151"/>
          <w:sz w:val="22"/>
          <w:szCs w:val="22"/>
        </w:rPr>
        <w:t xml:space="preserve">Launch the YouTube channel with a 2–3 minute introductory video about the organization.</w:t>
      </w:r>
    </w:p>
    <w:p>
      <w:pPr>
        <w:pStyle w:val="ListParagraph"/>
        <w:numPr>
          <w:ilvl w:val="0"/>
          <w:numId w:val="2"/>
        </w:numPr>
        <w:spacing w:after="100"/>
      </w:pPr>
      <w:r>
        <w:rPr>
          <w:rFonts w:ascii="Arial" w:cs="Arial" w:eastAsia="Arial" w:hAnsi="Arial"/>
          <w:color w:val="374151"/>
          <w:sz w:val="22"/>
          <w:szCs w:val="22"/>
        </w:rPr>
        <w:t xml:space="preserve">Implement the digital badge system for program completion (Credly or Badgr).</w:t>
      </w:r>
    </w:p>
    <w:p>
      <w:pPr>
        <w:pStyle w:val="ListParagraph"/>
        <w:numPr>
          <w:ilvl w:val="0"/>
          <w:numId w:val="2"/>
        </w:numPr>
        <w:spacing w:after="100"/>
      </w:pPr>
      <w:r>
        <w:rPr>
          <w:rFonts w:ascii="Arial" w:cs="Arial" w:eastAsia="Arial" w:hAnsi="Arial"/>
          <w:color w:val="374151"/>
          <w:sz w:val="22"/>
          <w:szCs w:val="22"/>
        </w:rPr>
        <w:t xml:space="preserve">Send the first storytelling-driven email to your mailing list.</w:t>
      </w:r>
    </w:p>
    <w:p>
      <w:pPr>
        <w:pStyle w:val="ListParagraph"/>
        <w:numPr>
          <w:ilvl w:val="0"/>
          <w:numId w:val="2"/>
        </w:numPr>
        <w:spacing w:after="100"/>
      </w:pPr>
      <w:r>
        <w:rPr>
          <w:rFonts w:ascii="Arial" w:cs="Arial" w:eastAsia="Arial" w:hAnsi="Arial"/>
          <w:color w:val="374151"/>
          <w:sz w:val="22"/>
          <w:szCs w:val="22"/>
        </w:rPr>
        <w:t xml:space="preserve">Begin outreach to 3–5 potential corporate partners with a one-page partnership packet.</w:t>
      </w:r>
    </w:p>
    <w:p>
      <w:pPr>
        <w:pStyle w:val="Heading2"/>
      </w:pPr>
      <w:r>
        <w:t xml:space="preserve">Phase 3: Scale (Months 4–12)</w:t>
      </w:r>
    </w:p>
    <w:p>
      <w:pPr>
        <w:pStyle w:val="ListParagraph"/>
        <w:numPr>
          <w:ilvl w:val="0"/>
          <w:numId w:val="2"/>
        </w:numPr>
        <w:spacing w:after="100"/>
      </w:pPr>
      <w:r>
        <w:rPr>
          <w:rFonts w:ascii="Arial" w:cs="Arial" w:eastAsia="Arial" w:hAnsi="Arial"/>
          <w:color w:val="374151"/>
          <w:sz w:val="22"/>
          <w:szCs w:val="22"/>
        </w:rPr>
        <w:t xml:space="preserve">Launch the Discord community server for participants and alumni.</w:t>
      </w:r>
    </w:p>
    <w:p>
      <w:pPr>
        <w:pStyle w:val="ListParagraph"/>
        <w:numPr>
          <w:ilvl w:val="0"/>
          <w:numId w:val="2"/>
        </w:numPr>
        <w:spacing w:after="100"/>
      </w:pPr>
      <w:r>
        <w:rPr>
          <w:rFonts w:ascii="Arial" w:cs="Arial" w:eastAsia="Arial" w:hAnsi="Arial"/>
          <w:color w:val="374151"/>
          <w:sz w:val="22"/>
          <w:szCs w:val="22"/>
        </w:rPr>
        <w:t xml:space="preserve">Add the entrepreneurship and cooking modules to the program curriculum.</w:t>
      </w:r>
    </w:p>
    <w:p>
      <w:pPr>
        <w:pStyle w:val="ListParagraph"/>
        <w:numPr>
          <w:ilvl w:val="0"/>
          <w:numId w:val="2"/>
        </w:numPr>
        <w:spacing w:after="100"/>
      </w:pPr>
      <w:r>
        <w:rPr>
          <w:rFonts w:ascii="Arial" w:cs="Arial" w:eastAsia="Arial" w:hAnsi="Arial"/>
          <w:color w:val="374151"/>
          <w:sz w:val="22"/>
          <w:szCs w:val="22"/>
        </w:rPr>
        <w:t xml:space="preserve">Run the first peer-to-peer fundraising campaign tied to summer enrollment.</w:t>
      </w:r>
    </w:p>
    <w:p>
      <w:pPr>
        <w:pStyle w:val="ListParagraph"/>
        <w:numPr>
          <w:ilvl w:val="0"/>
          <w:numId w:val="2"/>
        </w:numPr>
        <w:spacing w:after="100"/>
      </w:pPr>
      <w:r>
        <w:rPr>
          <w:rFonts w:ascii="Arial" w:cs="Arial" w:eastAsia="Arial" w:hAnsi="Arial"/>
          <w:color w:val="374151"/>
          <w:sz w:val="22"/>
          <w:szCs w:val="22"/>
        </w:rPr>
        <w:t xml:space="preserve">Pursue the first creator/influencer partnership with a Baltimore-based food or lifestyle content creator.</w:t>
      </w:r>
    </w:p>
    <w:p>
      <w:pPr>
        <w:pStyle w:val="ListParagraph"/>
        <w:numPr>
          <w:ilvl w:val="0"/>
          <w:numId w:val="2"/>
        </w:numPr>
        <w:spacing w:after="100"/>
      </w:pPr>
      <w:r>
        <w:rPr>
          <w:rFonts w:ascii="Arial" w:cs="Arial" w:eastAsia="Arial" w:hAnsi="Arial"/>
          <w:color w:val="374151"/>
          <w:sz w:val="22"/>
          <w:szCs w:val="22"/>
        </w:rPr>
        <w:t xml:space="preserve">Apply to corporate grant programs from Google.org, Microsoft Philanthropies, or similar organizations.</w:t>
      </w:r>
    </w:p>
    <w:p>
      <w:pPr>
        <w:pStyle w:val="ListParagraph"/>
        <w:numPr>
          <w:ilvl w:val="0"/>
          <w:numId w:val="2"/>
        </w:numPr>
        <w:spacing w:after="100"/>
      </w:pPr>
      <w:r>
        <w:rPr>
          <w:rFonts w:ascii="Arial" w:cs="Arial" w:eastAsia="Arial" w:hAnsi="Arial"/>
          <w:color w:val="374151"/>
          <w:sz w:val="22"/>
          <w:szCs w:val="22"/>
        </w:rPr>
        <w:t xml:space="preserve">Host the first cohort graduation event with family, media, and partner organizations invited.</w:t>
      </w:r>
    </w:p>
    <w:p>
      <w:pPr>
        <w:pStyle w:val="ListParagraph"/>
        <w:numPr>
          <w:ilvl w:val="0"/>
          <w:numId w:val="2"/>
        </w:numPr>
        <w:spacing w:after="100"/>
      </w:pPr>
      <w:r>
        <w:rPr>
          <w:rFonts w:ascii="Arial" w:cs="Arial" w:eastAsia="Arial" w:hAnsi="Arial"/>
          <w:color w:val="374151"/>
          <w:sz w:val="22"/>
          <w:szCs w:val="22"/>
        </w:rPr>
        <w:t xml:space="preserve">Formalize the Youth Advisory Board with defined roles and compensation.</w:t>
      </w:r>
    </w:p>
    <w:p>
      <w:pPr>
        <w:spacing w:after="200"/>
      </w:pPr>
    </w:p>
    <w:p>
      <w:pPr>
        <w:pBdr>
          <w:top w:val="single" w:color="52B788" w:sz="6" w:space="1"/>
        </w:pBdr>
        <w:spacing w:before="200"/>
      </w:pPr>
    </w:p>
    <w:p>
      <w:pPr>
        <w:spacing w:after="100"/>
      </w:pPr>
    </w:p>
    <w:p>
      <w:pPr>
        <w:pStyle w:val="Heading1"/>
      </w:pPr>
      <w:r>
        <w:t xml:space="preserve">Final Note</w:t>
      </w:r>
    </w:p>
    <w:p>
      <w:pPr>
        <w:spacing w:after="200"/>
      </w:pPr>
      <w:r>
        <w:rPr>
          <w:rFonts w:ascii="Arial" w:cs="Arial" w:eastAsia="Arial" w:hAnsi="Arial"/>
          <w:color w:val="374151"/>
          <w:sz w:val="22"/>
          <w:szCs w:val="22"/>
        </w:rPr>
        <w:t xml:space="preserve">Growing America’s Youth has something most nonprofits would pay a branding agency to fabricate: a mission that is visually compelling, immediately tangible, and genuinely life-changing. You teach young people to grow food with their own hands, earn a professional certification, and build careers. That is an extraordinary story. The work ahead is not about changing what you do — it’s about letting the world see it the way your participants already experience it.</w:t>
      </w:r>
    </w:p>
    <w:p>
      <w:pPr>
        <w:spacing w:after="200"/>
      </w:pPr>
      <w:r>
        <w:rPr>
          <w:rFonts w:ascii="Arial" w:cs="Arial" w:eastAsia="Arial" w:hAnsi="Arial"/>
          <w:color w:val="374151"/>
          <w:sz w:val="22"/>
          <w:szCs w:val="22"/>
        </w:rPr>
        <w:t xml:space="preserve">Every recommendation in this document is designed to close the gap between the quality of the program and the visibility of the brand. The mission doesn’t need fixing. The megaphone does.</w:t>
      </w:r>
    </w:p>
    <w:p>
      <w:pPr>
        <w:spacing w:after="200"/>
      </w:pPr>
    </w:p>
    <w:p>
      <w:pPr>
        <w:jc w:val="center"/>
      </w:pPr>
      <w:r>
        <w:rPr>
          <w:rFonts w:ascii="Arial" w:cs="Arial" w:eastAsia="Arial" w:hAnsi="Arial"/>
          <w:i/>
          <w:iCs/>
          <w:color w:val="6B7280"/>
          <w:sz w:val="18"/>
          <w:szCs w:val="18"/>
        </w:rPr>
        <w:t xml:space="preserve">— End of Strategy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Growing America’s Youth — Modernization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2026-03-14T19:01:35.594Z</dcterms:created>
  <dcterms:modified xsi:type="dcterms:W3CDTF">2026-03-14T19:01:35.595Z</dcterms:modified>
</cp:coreProperties>
</file>

<file path=docProps/custom.xml><?xml version="1.0" encoding="utf-8"?>
<Properties xmlns="http://schemas.openxmlformats.org/officeDocument/2006/custom-properties" xmlns:vt="http://schemas.openxmlformats.org/officeDocument/2006/docPropsVTypes"/>
</file>