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2933"/>
          <w:sz w:val="30"/>
          <w:szCs w:val="30"/>
        </w:rPr>
        <w:t xml:space="preserve">Atkinson Spanish Immersion: Facts for Our Meeting with PPS</w:t>
      </w:r>
    </w:p>
    <w:p>
      <w:pPr>
        <w:spacing w:after="60"/>
      </w:pPr>
      <w:r>
        <w:rPr>
          <w:rFonts w:ascii="Calibri" w:cs="Calibri" w:eastAsia="Calibri" w:hAnsi="Calibri"/>
          <w:color w:val="5B6670"/>
          <w:sz w:val="17"/>
          <w:szCs w:val="17"/>
        </w:rPr>
        <w:t xml:space="preserve">Atkinson Dual Language Immersion (DLI) families  ·  PTA meeting with Director Stephanie Engleman  ·  October 2026</w:t>
      </w:r>
    </w:p>
    <w:p>
      <w:pPr>
        <w:pBdr>
          <w:left w:val="single" w:color="2A78D6" w:sz="18" w:space="6"/>
        </w:pBdr>
        <w:shd w:fill="F3F6FA" w:color="auto" w:val="clear"/>
        <w:spacing w:after="60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Both PPS rightsizing scenarios (A and B) move Atkinson’s K-5 Spanish immersion program 2.4 miles east to Lent, at the edge of the district. Creston’s neighborhood students would move into Atkinson.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Our main concern: losing a popular, central Southeast program.</w:t>
      </w:r>
    </w:p>
    <w:p>
      <w:pPr>
        <w:sectPr>
          <w:pgSz w:w="12240" w:h="15840" w:orient="portrait"/>
          <w:pgMar w:top="576" w:right="612" w:bottom="504" w:left="612" w:header="708" w:footer="708" w:gutter="0"/>
          <w:pgNumType/>
          <w:docGrid w:linePitch="360"/>
        </w:sectPr>
      </w:pPr>
    </w:p>
    <w:p>
      <w:pPr>
        <w:keepNext/>
        <w:pBdr>
          <w:bottom w:val="single" w:color="2A78D6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2A78D6"/>
          <w:sz w:val="20"/>
          <w:szCs w:val="20"/>
        </w:rPr>
        <w:t xml:space="preserve">1. ATKINSON IMMERSION IS IN DEMAND</w:t>
      </w:r>
    </w:p>
    <w:p>
      <w:pPr>
        <w:spacing w:after="50" w:before="0" w:line="236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In the 2026-27 kindergarten lottery, Atkinson had the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longest waitlist of any PPS immersion program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 and the most applications of any Spanish program (only Richmond’s Japanese program had more). Over 5 years it averaged about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5 applications for every seat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 offered (121 vs 24).</w:t>
      </w:r>
    </w:p>
    <w:tbl>
      <w:tblPr>
        <w:tblW w:type="dxa" w:w="4410"/>
        <w:tblBorders>
          <w:top w:val="single" w:color="C9D1D9" w:sz="4"/>
          <w:left w:val="single" w:color="C9D1D9" w:sz="4"/>
          <w:bottom w:val="single" w:color="C9D1D9" w:sz="4"/>
          <w:right w:val="single" w:color="C9D1D9" w:sz="4"/>
          <w:insideH w:val="single" w:color="C9D1D9" w:sz="4"/>
          <w:insideV w:val="single" w:color="C9D1D9" w:sz="4"/>
        </w:tblBorders>
      </w:tblPr>
      <w:tblGrid>
        <w:gridCol w:w="1950"/>
        <w:gridCol w:w="780"/>
        <w:gridCol w:w="780"/>
        <w:gridCol w:w="900"/>
      </w:tblGrid>
      <w:tr>
        <w:tc>
          <w:tcPr>
            <w:tcW w:type="dxa" w:w="1950"/>
            <w:shd w:fill="E8F0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2026-27 kindergarten</w:t>
            </w:r>
          </w:p>
        </w:tc>
        <w:tc>
          <w:tcPr>
            <w:tcW w:type="dxa" w:w="780"/>
            <w:shd w:fill="E8F0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Applied</w:t>
            </w:r>
          </w:p>
        </w:tc>
        <w:tc>
          <w:tcPr>
            <w:tcW w:type="dxa" w:w="780"/>
            <w:shd w:fill="E8F0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Offered</w:t>
            </w:r>
          </w:p>
        </w:tc>
        <w:tc>
          <w:tcPr>
            <w:tcW w:type="dxa" w:w="900"/>
            <w:shd w:fill="E8F0FB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7"/>
                <w:szCs w:val="17"/>
              </w:rPr>
              <w:t xml:space="preserve">Waitlisted</w:t>
            </w:r>
          </w:p>
        </w:tc>
      </w:tr>
      <w:tr>
        <w:tc>
          <w:tcPr>
            <w:tcW w:type="dxa" w:w="19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Atkinson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125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25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47</w:t>
            </w:r>
          </w:p>
        </w:tc>
      </w:tr>
      <w:tr>
        <w:tc>
          <w:tcPr>
            <w:tcW w:type="dxa" w:w="19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B6670"/>
                <w:sz w:val="17"/>
                <w:szCs w:val="17"/>
              </w:rPr>
              <w:t xml:space="preserve">  Native &amp; heritage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670"/>
                <w:sz w:val="17"/>
                <w:szCs w:val="17"/>
              </w:rPr>
              <w:t xml:space="preserve">42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670"/>
                <w:sz w:val="17"/>
                <w:szCs w:val="17"/>
              </w:rPr>
              <w:t xml:space="preserve">19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670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9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Lent (for comparison)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49</w:t>
            </w:r>
          </w:p>
        </w:tc>
        <w:tc>
          <w:tcPr>
            <w:tcW w:type="dxa" w:w="78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24</w:t>
            </w:r>
          </w:p>
        </w:tc>
        <w:tc>
          <w:tcPr>
            <w:tcW w:type="dxa" w:w="9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3"/>
                <w:sz w:val="17"/>
                <w:szCs w:val="17"/>
              </w:rPr>
              <w:t xml:space="preserve">13</w:t>
            </w:r>
          </w:p>
        </w:tc>
      </w:tr>
    </w:tbl>
    <w:p>
      <w:pPr>
        <w:spacing w:after="50" w:before="30" w:line="236"/>
      </w:pPr>
      <w:r>
        <w:rPr>
          <w:rFonts w:ascii="Calibri" w:cs="Calibri" w:eastAsia="Calibri" w:hAnsi="Calibri"/>
          <w:i/>
          <w:iCs/>
          <w:color w:val="5B6670"/>
          <w:sz w:val="16"/>
          <w:szCs w:val="16"/>
        </w:rPr>
        <w:t xml:space="preserve">Rigler and Lent enroll most children without the lottery, so their demand does not show here. Native and heritage = Spanish-speaking children. The waitlist alone could fill much of a second balanced class. A family can be on several waitlists, so waitlist places are not all separate children.</w:t>
      </w:r>
    </w:p>
    <w:p>
      <w:pPr>
        <w:keepNext/>
        <w:pBdr>
          <w:bottom w:val="single" w:color="2A78D6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2A78D6"/>
          <w:sz w:val="20"/>
          <w:szCs w:val="20"/>
        </w:rPr>
        <w:t xml:space="preserve">2. CENTRAL SITE VS EDGE SITE</w:t>
      </w:r>
    </w:p>
    <w:p>
      <w:pPr>
        <w:pStyle w:val="ListParagraph"/>
        <w:numPr>
          <w:ilvl w:val="0"/>
          <w:numId w:val="2"/>
        </w:numPr>
        <w:spacing w:after="35" w:line="23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Atkinson is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1.8 miles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 from the district edge. Lent is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0.3 miles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 from it.</w:t>
      </w:r>
    </w:p>
    <w:p>
      <w:pPr>
        <w:pStyle w:val="ListParagraph"/>
        <w:numPr>
          <w:ilvl w:val="0"/>
          <w:numId w:val="2"/>
        </w:numPr>
        <w:spacing w:after="35" w:line="23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Two in three Atkinson immersion students (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118 of 178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) already come from outside Atkinson’s neighborhood.</w:t>
      </w:r>
    </w:p>
    <w:p>
      <w:pPr>
        <w:pStyle w:val="ListParagraph"/>
        <w:numPr>
          <w:ilvl w:val="0"/>
          <w:numId w:val="2"/>
        </w:numPr>
        <w:spacing w:after="35" w:line="23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Their trip to school would grow about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1 mile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 on average (estimate from PPS home-neighborhood data).</w:t>
      </w:r>
    </w:p>
    <w:p>
      <w:pPr>
        <w:pStyle w:val="ListParagraph"/>
        <w:numPr>
          <w:ilvl w:val="0"/>
          <w:numId w:val="2"/>
        </w:numPr>
        <w:spacing w:after="35" w:line="23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Across PPS, the share of Spanish-speaking children (ages 5-17) living within 1 mile of a Spanish immersion school drops from about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52% to 36%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 under either scenario.</w:t>
      </w:r>
    </w:p>
    <w:p>
      <w:pPr>
        <w:keepNext/>
        <w:pBdr>
          <w:bottom w:val="single" w:color="2A78D6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2A78D6"/>
          <w:sz w:val="20"/>
          <w:szCs w:val="20"/>
        </w:rPr>
        <w:t xml:space="preserve">3. WHO MOVES, AND WHAT CHANGES AT ATKINSON</w:t>
      </w:r>
    </w:p>
    <w:p>
      <w:pPr>
        <w:spacing w:after="50" w:before="0" w:line="236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Atkinson is an example of a well-resourced school that is currently serving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21% multilingual learners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44% historically underserved learners</w:t>
      </w:r>
      <w:r>
        <w:rPr>
          <w:rFonts w:ascii="Calibri" w:cs="Calibri" w:eastAsia="Calibri" w:hAnsi="Calibri"/>
          <w:i/>
          <w:iCs/>
          <w:color w:val="1F2933"/>
          <w:sz w:val="19"/>
          <w:szCs w:val="19"/>
        </w:rPr>
        <w:t xml:space="preserve"> (40% and 71% in its immersion program). Why fix something that’s not broken? Especially when the consequences run contrary to the stated goals of rightsizing?</w:t>
      </w:r>
    </w:p>
    <w:tbl>
      <w:tblPr>
        <w:tblW w:type="dxa" w:w="4640"/>
        <w:tblBorders>
          <w:top w:val="single" w:color="C9D1D9" w:sz="4"/>
          <w:left w:val="single" w:color="C9D1D9" w:sz="4"/>
          <w:bottom w:val="single" w:color="C9D1D9" w:sz="4"/>
          <w:right w:val="single" w:color="C9D1D9" w:sz="4"/>
          <w:insideH w:val="single" w:color="C9D1D9" w:sz="4"/>
          <w:insideV w:val="single" w:color="C9D1D9" w:sz="4"/>
        </w:tblBorders>
      </w:tblPr>
      <w:tblGrid>
        <w:gridCol w:w="1560"/>
        <w:gridCol w:w="1000"/>
        <w:gridCol w:w="1000"/>
        <w:gridCol w:w="1080"/>
      </w:tblGrid>
      <w:tr>
        <w:tc>
          <w:tcPr>
            <w:tcW w:type="dxa" w:w="1560"/>
            <w:shd w:fill="E8F0FB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Atkinson</w:t>
            </w:r>
          </w:p>
        </w:tc>
        <w:tc>
          <w:tcPr>
            <w:tcW w:type="dxa" w:w="1000"/>
            <w:shd w:fill="E8F0FB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Immersion program</w:t>
            </w:r>
          </w:p>
        </w:tc>
        <w:tc>
          <w:tcPr>
            <w:tcW w:type="dxa" w:w="1000"/>
            <w:shd w:fill="E8F0FB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Whole school today</w:t>
            </w:r>
          </w:p>
        </w:tc>
        <w:tc>
          <w:tcPr>
            <w:tcW w:type="dxa" w:w="1080"/>
            <w:shd w:fill="E8F0FB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6"/>
                <w:szCs w:val="16"/>
              </w:rPr>
              <w:t xml:space="preserve">Whole school after move</w:t>
            </w:r>
          </w:p>
        </w:tc>
      </w:tr>
      <w:tr>
        <w:tc>
          <w:tcPr>
            <w:tcW w:type="dxa" w:w="1560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Multilingual learners</w:t>
            </w:r>
          </w:p>
        </w:tc>
        <w:tc>
          <w:tcPr>
            <w:tcW w:type="dxa" w:w="1000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40%</w:t>
            </w:r>
          </w:p>
        </w:tc>
        <w:tc>
          <w:tcPr>
            <w:tcW w:type="dxa" w:w="1000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21%</w:t>
            </w:r>
          </w:p>
        </w:tc>
        <w:tc>
          <w:tcPr>
            <w:tcW w:type="dxa" w:w="1080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7%</w:t>
            </w:r>
          </w:p>
        </w:tc>
      </w:tr>
      <w:tr>
        <w:tc>
          <w:tcPr>
            <w:tcW w:type="dxa" w:w="1560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Historically underserved</w:t>
            </w:r>
          </w:p>
        </w:tc>
        <w:tc>
          <w:tcPr>
            <w:tcW w:type="dxa" w:w="1000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71%</w:t>
            </w:r>
          </w:p>
        </w:tc>
        <w:tc>
          <w:tcPr>
            <w:tcW w:type="dxa" w:w="1000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44%</w:t>
            </w:r>
          </w:p>
        </w:tc>
        <w:tc>
          <w:tcPr>
            <w:tcW w:type="dxa" w:w="1080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21%</w:t>
            </w:r>
          </w:p>
        </w:tc>
      </w:tr>
      <w:tr>
        <w:tc>
          <w:tcPr>
            <w:tcW w:type="dxa" w:w="1560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Poverty</w:t>
            </w:r>
          </w:p>
        </w:tc>
        <w:tc>
          <w:tcPr>
            <w:tcW w:type="dxa" w:w="1000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not published</w:t>
            </w:r>
          </w:p>
        </w:tc>
        <w:tc>
          <w:tcPr>
            <w:tcW w:type="dxa" w:w="1000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32%</w:t>
            </w:r>
          </w:p>
        </w:tc>
        <w:tc>
          <w:tcPr>
            <w:tcW w:type="dxa" w:w="1080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F2933"/>
                <w:sz w:val="16"/>
                <w:szCs w:val="16"/>
              </w:rPr>
              <w:t xml:space="preserve">23%</w:t>
            </w:r>
          </w:p>
        </w:tc>
      </w:tr>
    </w:tbl>
    <w:p>
      <w:pPr>
        <w:spacing w:after="50" w:before="25" w:line="236"/>
      </w:pPr>
      <w:r>
        <w:rPr>
          <w:rFonts w:ascii="Calibri" w:cs="Calibri" w:eastAsia="Calibri" w:hAnsi="Calibri"/>
          <w:i/>
          <w:iCs/>
          <w:color w:val="5B6670"/>
          <w:sz w:val="15"/>
          <w:szCs w:val="15"/>
        </w:rPr>
        <w:t xml:space="preserve">Today = October 2025. “After move” = PPS’s projection in its Atkinson guide. Historically underserved = PPS’s race-based group (Latino, Black, Native American, Pacific Islander; excludes Asian and white). Poverty = direct certification, published for whole schools only.</w:t>
      </w:r>
    </w:p>
    <w:p>
      <w:pPr>
        <w:pStyle w:val="ListParagraph"/>
        <w:numPr>
          <w:ilvl w:val="0"/>
          <w:numId w:val="2"/>
        </w:numPr>
        <w:spacing w:after="35" w:line="23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Nine in ten of Atkinson’s multilingual learners (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72 of 78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) are in the immersion program. The program is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70% Latino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; the neighborhood program is 8% Latino and 76% white.</w:t>
      </w:r>
    </w:p>
    <w:p>
      <w:pPr>
        <w:pStyle w:val="ListParagraph"/>
        <w:numPr>
          <w:ilvl w:val="0"/>
          <w:numId w:val="2"/>
        </w:numPr>
        <w:spacing w:after="35" w:line="23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Racial separation among Southeast schools (Atkinson, Lent, Creston) rises: Latino-white dissimilarity index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0.35 → 0.58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 (0 = evenly mixed, 1 = fully separate).</w:t>
      </w:r>
    </w:p>
    <w:p>
      <w:pPr>
        <w:pStyle w:val="ListParagraph"/>
        <w:numPr>
          <w:ilvl w:val="0"/>
          <w:numId w:val="2"/>
        </w:numPr>
        <w:spacing w:after="35" w:line="23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Lent’s school grounds are about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120 feet from I-205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. Atkinson is 1.5 miles from the nearest freeway.</w:t>
      </w:r>
    </w:p>
    <w:p>
      <w:pPr>
        <w:keepNext/>
        <w:pBdr>
          <w:bottom w:val="single" w:color="2A78D6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2A78D6"/>
          <w:sz w:val="20"/>
          <w:szCs w:val="20"/>
        </w:rPr>
        <w:t xml:space="preserve">4. WHAT HAPPENED LAST TIME: BRIDGER → LENT (2023)</w:t>
      </w:r>
    </w:p>
    <w:p>
      <w:pPr>
        <w:pStyle w:val="ListParagraph"/>
        <w:numPr>
          <w:ilvl w:val="0"/>
          <w:numId w:val="2"/>
        </w:numPr>
        <w:spacing w:after="35" w:line="23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Lent now enrolls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31% fewer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 immersion kindergartners than Bridger and Lent did together before the move. The district fell 14% over the same period.</w:t>
      </w:r>
    </w:p>
    <w:p>
      <w:pPr>
        <w:pStyle w:val="ListParagraph"/>
        <w:numPr>
          <w:ilvl w:val="0"/>
          <w:numId w:val="2"/>
        </w:numPr>
        <w:spacing w:after="35" w:line="23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PPS’s 2023 plan projected 527 students at Lent for 2025-26. Lent has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256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, in a building for about 798 (32% full).</w:t>
      </w:r>
    </w:p>
    <w:p>
      <w:pPr>
        <w:pStyle w:val="ListParagraph"/>
        <w:numPr>
          <w:ilvl w:val="0"/>
          <w:numId w:val="2"/>
        </w:numPr>
        <w:spacing w:after="35" w:line="23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PPS’s new guides expect only about </w:t>
      </w: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4 in 5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 Atkinson immersion students to follow the program to Lent.</w:t>
      </w:r>
    </w:p>
    <w:p>
      <w:pPr>
        <w:keepNext/>
        <w:pBdr>
          <w:bottom w:val="single" w:color="EB6834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EB6834"/>
          <w:sz w:val="20"/>
          <w:szCs w:val="20"/>
        </w:rPr>
        <w:t xml:space="preserve">5. OUR CONCERNS ABOUT SCENARIOS A AND B</w:t>
      </w:r>
    </w:p>
    <w:p>
      <w:pPr>
        <w:pStyle w:val="ListParagraph"/>
        <w:numPr>
          <w:ilvl w:val="0"/>
          <w:numId w:val="2"/>
        </w:numPr>
        <w:spacing w:after="35" w:line="232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Equity: 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Furthers segregation as an unintended consequence; increases vulnerability of an already frightened community; removes choice for ESL students; worsens environmental injustice.</w:t>
      </w:r>
    </w:p>
    <w:p>
      <w:pPr>
        <w:pStyle w:val="ListParagraph"/>
        <w:numPr>
          <w:ilvl w:val="0"/>
          <w:numId w:val="2"/>
        </w:numPr>
        <w:spacing w:after="35" w:line="232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Enrollment: 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Demand could fill a second DLI kindergarten class, drawing families from across the city; NH DLI families overwhelmingly say they won’t transfer to Lent; Lent remains under-enrolled despite PPS’s projections.</w:t>
      </w:r>
    </w:p>
    <w:p>
      <w:pPr>
        <w:pStyle w:val="ListParagraph"/>
        <w:numPr>
          <w:ilvl w:val="0"/>
          <w:numId w:val="2"/>
        </w:numPr>
        <w:spacing w:after="35" w:line="232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Community: 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A diverse school community is an asset to all students; Atkinson’s central Southeast location makes it reachable for native and heritage families from outside the neighborhood; walking and biking are a priority for Atkinson families.</w:t>
      </w:r>
    </w:p>
    <w:p>
      <w:pPr>
        <w:pStyle w:val="ListParagraph"/>
        <w:numPr>
          <w:ilvl w:val="0"/>
          <w:numId w:val="2"/>
        </w:numPr>
        <w:spacing w:after="35" w:line="232"/>
      </w:pPr>
      <w:r>
        <w:rPr>
          <w:rFonts w:ascii="Calibri" w:cs="Calibri" w:eastAsia="Calibri" w:hAnsi="Calibri"/>
          <w:b/>
          <w:bCs/>
          <w:color w:val="1F2933"/>
          <w:sz w:val="19"/>
          <w:szCs w:val="19"/>
        </w:rPr>
        <w:t xml:space="preserve">Process: </w:t>
      </w:r>
      <w:r>
        <w:rPr>
          <w:rFonts w:ascii="Calibri" w:cs="Calibri" w:eastAsia="Calibri" w:hAnsi="Calibri"/>
          <w:color w:val="1F2933"/>
          <w:sz w:val="19"/>
          <w:szCs w:val="19"/>
        </w:rPr>
        <w:t xml:space="preserve">Is four weeks really enough time to address the concerns of thousands of parents? Incomplete transition plans are unacceptable.</w:t>
      </w:r>
    </w:p>
    <w:p>
      <w:pPr>
        <w:keepNext/>
        <w:pBdr>
          <w:bottom w:val="single" w:color="EB6834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EB6834"/>
          <w:sz w:val="20"/>
          <w:szCs w:val="20"/>
        </w:rPr>
        <w:t xml:space="preserve">6. QUESTIONS FOR DIRECTOR ENGLEMAN</w:t>
      </w:r>
    </w:p>
    <w:p>
      <w:pPr>
        <w:pStyle w:val="ListParagraph"/>
        <w:numPr>
          <w:ilvl w:val="0"/>
          <w:numId w:val="3"/>
        </w:numPr>
        <w:spacing w:after="35" w:line="23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After the Bridger move, Lent lost families beyond the district trend. What will PPS do differently to keep Atkinson families?</w:t>
      </w:r>
    </w:p>
    <w:p>
      <w:pPr>
        <w:pStyle w:val="ListParagraph"/>
        <w:numPr>
          <w:ilvl w:val="0"/>
          <w:numId w:val="3"/>
        </w:numPr>
        <w:spacing w:after="35" w:line="23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Every projection for Lent has been too high (527 planned, 256 actual). Why is the new 400+ projection more reliable?</w:t>
      </w:r>
    </w:p>
    <w:p>
      <w:pPr>
        <w:pStyle w:val="ListParagraph"/>
        <w:numPr>
          <w:ilvl w:val="0"/>
          <w:numId w:val="3"/>
        </w:numPr>
        <w:spacing w:after="35" w:line="23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Will PPS provide bus service from the Atkinson area to Lent? Busing plans so far are shown only for North Portland.</w:t>
      </w:r>
    </w:p>
    <w:p>
      <w:pPr>
        <w:pStyle w:val="ListParagraph"/>
        <w:numPr>
          <w:ilvl w:val="0"/>
          <w:numId w:val="3"/>
        </w:numPr>
        <w:spacing w:after="35" w:line="23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Has PPS measured air quality at Lent, next to I-205? What filtration or other protections are planned?</w:t>
      </w:r>
    </w:p>
    <w:p>
      <w:pPr>
        <w:pStyle w:val="ListParagraph"/>
        <w:numPr>
          <w:ilvl w:val="0"/>
          <w:numId w:val="3"/>
        </w:numPr>
        <w:spacing w:after="35" w:line="23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Can current Atkinson immersion students and their younger siblings finish at Atkinson? What is the timeline?</w:t>
      </w:r>
    </w:p>
    <w:p>
      <w:pPr>
        <w:pStyle w:val="ListParagraph"/>
        <w:numPr>
          <w:ilvl w:val="0"/>
          <w:numId w:val="3"/>
        </w:numPr>
        <w:spacing w:after="35" w:line="23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PPS’s guide says Lent with Atkinson’s program meets the size goal but not the space goal. What does that mean?</w:t>
      </w:r>
    </w:p>
    <w:p>
      <w:pPr>
        <w:pStyle w:val="ListParagraph"/>
        <w:numPr>
          <w:ilvl w:val="0"/>
          <w:numId w:val="3"/>
        </w:numPr>
        <w:spacing w:after="35" w:line="23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Did PPS study keeping a central Southeast Spanish immersion site?</w:t>
      </w:r>
    </w:p>
    <w:p>
      <w:pPr>
        <w:keepNext/>
        <w:pBdr>
          <w:bottom w:val="single" w:color="EB6834" w:sz="6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EB6834"/>
          <w:sz w:val="20"/>
          <w:szCs w:val="20"/>
        </w:rPr>
        <w:t xml:space="preserve">7. WHAT WE ASK</w:t>
      </w:r>
    </w:p>
    <w:p>
      <w:pPr>
        <w:pStyle w:val="ListParagraph"/>
        <w:numPr>
          <w:ilvl w:val="0"/>
          <w:numId w:val="2"/>
        </w:numPr>
        <w:spacing w:after="35" w:line="23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Pause the process to allow deep engagement with PPS families and revision of the proposals.</w:t>
      </w:r>
    </w:p>
    <w:p>
      <w:pPr>
        <w:pStyle w:val="ListParagraph"/>
        <w:numPr>
          <w:ilvl w:val="0"/>
          <w:numId w:val="2"/>
        </w:numPr>
        <w:spacing w:after="35" w:line="232"/>
      </w:pPr>
      <w:r>
        <w:rPr>
          <w:rFonts w:ascii="Calibri" w:cs="Calibri" w:eastAsia="Calibri" w:hAnsi="Calibri"/>
          <w:color w:val="1F2933"/>
          <w:sz w:val="19"/>
          <w:szCs w:val="19"/>
        </w:rPr>
        <w:t xml:space="preserve">Move Creston to Glencoe (suggested at a recent district meeting).</w:t>
      </w:r>
    </w:p>
    <w:p>
      <w:pPr>
        <w:sectPr>
          <w:type w:val="continuous"/>
          <w:pgSz w:w="12240" w:h="15840" w:orient="portrait"/>
          <w:pgMar w:top="576" w:right="612" w:bottom="504" w:left="612" w:header="708" w:footer="708" w:gutter="0"/>
          <w:pgNumType/>
          <w:cols w:space="360" w:num="2" w:sep="false"/>
          <w:docGrid w:linePitch="360"/>
        </w:sectPr>
      </w:pPr>
    </w:p>
    <w:p>
      <w:pPr>
        <w:pBdr>
          <w:top w:val="single" w:color="C9D1D9" w:sz="4" w:space="3"/>
        </w:pBdr>
        <w:spacing w:before="80"/>
      </w:pPr>
      <w:r>
        <w:rPr>
          <w:rFonts w:ascii="Calibri" w:cs="Calibri" w:eastAsia="Calibri" w:hAnsi="Calibri"/>
          <w:b/>
          <w:bCs/>
          <w:color w:val="5B6670"/>
          <w:sz w:val="15"/>
          <w:szCs w:val="15"/>
        </w:rPr>
        <w:t xml:space="preserve">Sources: </w:t>
      </w:r>
      <w:r>
        <w:rPr>
          <w:rFonts w:ascii="Calibri" w:cs="Calibri" w:eastAsia="Calibri" w:hAnsi="Calibri"/>
          <w:color w:val="5B6670"/>
          <w:sz w:val="15"/>
          <w:szCs w:val="15"/>
        </w:rPr>
        <w:t xml:space="preserve">PPS 2026-27 Kindergarten Lottery Results and 2022-23 to 2026-27 lottery reports; PPS School Profiles dashboard (2025); PPS Enrollment Summary by Race and Ethnicity and Language Immersion Track Profiles (Oct 2025); PPS rightsizing school guides for Atkinson and Lent (Oct 8, 2026); PPS Enrollment by Neighborhood of Residence; PSU enrollment forecasts; PPS Southeast Guiding Coalition equity audit; U.S. Census ACS (C16001/B16007); OpenStreetMap. Analysis: </w:t>
      </w:r>
      <w:hyperlink w:history="1" r:id="rIddt6p0znqk5dvdque7qsmf">
        <w:r>
          <w:rPr>
            <w:rFonts w:ascii="Calibri" w:cs="Calibri" w:eastAsia="Calibri" w:hAnsi="Calibri"/>
            <w:color w:val="2A78D6"/>
            <w:sz w:val="15"/>
            <w:szCs w:val="15"/>
            <w:u w:val="single"/>
          </w:rPr>
          <w:t xml:space="preserve">pps-dli-explorer.netlify.app</w:t>
        </w:r>
      </w:hyperlink>
      <w:r>
        <w:rPr>
          <w:rFonts w:ascii="Calibri" w:cs="Calibri" w:eastAsia="Calibri" w:hAnsi="Calibri"/>
          <w:color w:val="5B6670"/>
          <w:sz w:val="15"/>
          <w:szCs w:val="15"/>
        </w:rPr>
        <w:t xml:space="preserve"> (independent; builds on pps-explorer by Jason Brown and ppsdata.info). Distances and the 1-mile trip increase are estimates; see the site’s Methods page.</w:t>
      </w:r>
    </w:p>
    <w:sectPr>
      <w:type w:val="continuous"/>
      <w:pgSz w:w="12240" w:h="15840" w:orient="portrait"/>
      <w:pgMar w:top="576" w:right="612" w:bottom="504" w:left="61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60" w:hanging="220"/>
      </w:pPr>
      <w:rPr>
        <w:b/>
        <w:bCs/>
        <w:color w:val="EB683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t6p0znqk5dvdque7qsmf" Type="http://schemas.openxmlformats.org/officeDocument/2006/relationships/hyperlink" Target="https://pps-dli-explorer.netlify.app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2026-10-14T18:22:43.441Z</dcterms:created>
  <dcterms:modified xsi:type="dcterms:W3CDTF">2026-10-14T18:22:43.441Z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