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40"/>
      </w:tblGrid>
      <w:tr>
        <w:tc>
          <w:tcPr>
            <w:tcW w:type="dxa" w:w="10240"/>
            <w:shd w:fill="173B85" w:color="auto" w:val="clear"/>
            <w:tcMar>
              <w:top w:type="dxa" w:w="220"/>
              <w:left w:type="dxa" w:w="300"/>
              <w:bottom w:type="dxa" w:w="220"/>
              <w:right w:type="dxa" w:w="300"/>
            </w:tcMar>
          </w:tcPr>
          <w:p>
            <w:pPr>
              <w:spacing w:after="140"/>
            </w:pPr>
            <w:r>
              <w:rPr>
                <w:rFonts w:ascii="Calibri" w:cs="Calibri" w:eastAsia="Calibri" w:hAnsi="Calibri"/>
                <w:b/>
                <w:bCs/>
                <w:color w:val="F2A518"/>
                <w:sz w:val="17"/>
                <w:szCs w:val="17"/>
              </w:rPr>
              <w:t xml:space="preserve">ATKINSON ELEMENTARY · SPANISH DUAL LANGUAGE IMMERSION · OCTOBER 2026</w:t>
            </w:r>
          </w:p>
          <w:p>
            <w:pPr>
              <w:spacing w:after="0" w:line="340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38"/>
                <w:szCs w:val="38"/>
              </w:rPr>
              <w:t xml:space="preserve">Atkinson is a Thriving, Diverse School Community</w:t>
            </w:r>
          </w:p>
        </w:tc>
      </w:tr>
    </w:tbl>
    <w:p>
      <w:pPr>
        <w:spacing w:after="120" w:before="0" w:line="280"/>
      </w:pPr>
    </w:p>
    <w:p>
      <w:pPr>
        <w:spacing w:after="160" w:before="0" w:line="280"/>
      </w:pPr>
      <w:r>
        <w:rPr>
          <w:rFonts w:ascii="Calibri" w:cs="Calibri" w:eastAsia="Calibri" w:hAnsi="Calibri"/>
          <w:color w:val="1D2433"/>
          <w:sz w:val="23"/>
          <w:szCs w:val="23"/>
        </w:rPr>
        <w:t xml:space="preserve">Atkinson is an example of a well-resourced school that is currently serving 21% multilingual learners and 44% historically underserved learners.</w:t>
      </w:r>
    </w:p>
    <w:tbl>
      <w:tblPr>
        <w:tblW w:type="dxa" w:w="9300"/>
        <w:tblBorders>
          <w:top w:val="single" w:color="EAD9C3" w:sz="4"/>
          <w:left w:val="none" w:color="FFFFFF" w:sz="0"/>
          <w:bottom w:val="single" w:color="EAD9C3" w:sz="4"/>
          <w:right w:val="none" w:color="FFFFFF" w:sz="0"/>
          <w:insideH w:val="single" w:color="EAD9C3" w:sz="4"/>
          <w:insideV w:val="none" w:color="FFFFFF" w:sz="0"/>
        </w:tblBorders>
      </w:tblPr>
      <w:tblGrid>
        <w:gridCol w:w="3900"/>
        <w:gridCol w:w="2700"/>
        <w:gridCol w:w="2700"/>
      </w:tblGrid>
      <w:tr>
        <w:tc>
          <w:tcPr>
            <w:tcW w:type="dxa" w:w="3900"/>
            <w:shd w:fill="FDF1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B85"/>
                <w:sz w:val="19"/>
                <w:szCs w:val="19"/>
              </w:rPr>
              <w:t xml:space="preserve">Student snapshot, October 2025</w:t>
            </w:r>
          </w:p>
        </w:tc>
        <w:tc>
          <w:tcPr>
            <w:tcW w:type="dxa" w:w="2700"/>
            <w:shd w:fill="FDF1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B85"/>
                <w:sz w:val="19"/>
                <w:szCs w:val="19"/>
              </w:rPr>
              <w:t xml:space="preserve">Whole school</w:t>
            </w:r>
          </w:p>
        </w:tc>
        <w:tc>
          <w:tcPr>
            <w:tcW w:type="dxa" w:w="2700"/>
            <w:shd w:fill="FDF1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B85"/>
                <w:sz w:val="19"/>
                <w:szCs w:val="19"/>
              </w:rPr>
              <w:t xml:space="preserve">DLI program</w:t>
            </w:r>
          </w:p>
        </w:tc>
      </w:tr>
      <w:tr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19"/>
                <w:szCs w:val="19"/>
              </w:rPr>
              <w:t xml:space="preserve">Students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19"/>
                <w:szCs w:val="19"/>
              </w:rPr>
              <w:t xml:space="preserve">366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19"/>
                <w:szCs w:val="19"/>
              </w:rPr>
              <w:t xml:space="preserve">178 (49% of school)</w:t>
            </w:r>
          </w:p>
        </w:tc>
      </w:tr>
      <w:tr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19"/>
                <w:szCs w:val="19"/>
              </w:rPr>
              <w:t xml:space="preserve">Historically underserved students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19"/>
                <w:szCs w:val="19"/>
              </w:rPr>
              <w:t xml:space="preserve">161 (44%)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19"/>
                <w:szCs w:val="19"/>
              </w:rPr>
              <w:t xml:space="preserve">71%</w:t>
            </w:r>
          </w:p>
        </w:tc>
      </w:tr>
      <w:tr>
        <w:tc>
          <w:tcPr>
            <w:tcW w:type="dxa" w:w="39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19"/>
                <w:szCs w:val="19"/>
              </w:rPr>
              <w:t xml:space="preserve">Multilingual learners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19"/>
                <w:szCs w:val="19"/>
              </w:rPr>
              <w:t xml:space="preserve">78 (21%)</w:t>
            </w:r>
          </w:p>
        </w:tc>
        <w:tc>
          <w:tcPr>
            <w:tcW w:type="dxa" w:w="2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19"/>
                <w:szCs w:val="19"/>
              </w:rPr>
              <w:t xml:space="preserve">40%</w:t>
            </w:r>
          </w:p>
        </w:tc>
      </w:tr>
    </w:tbl>
    <w:p>
      <w:pPr>
        <w:keepNext/>
        <w:pBdr>
          <w:bottom w:val="single" w:color="F2A518" w:sz="18" w:space="3"/>
        </w:pBdr>
        <w:spacing w:after="110" w:before="300"/>
      </w:pPr>
      <w:r>
        <w:rPr>
          <w:rFonts w:ascii="Georgia" w:cs="Georgia" w:eastAsia="Georgia" w:hAnsi="Georgia"/>
          <w:b/>
          <w:bCs/>
          <w:color w:val="173B85"/>
          <w:sz w:val="25"/>
          <w:szCs w:val="25"/>
        </w:rPr>
        <w:t xml:space="preserve">Atkinson immersion is in demand</w:t>
      </w:r>
    </w:p>
    <w:p>
      <w:pPr>
        <w:spacing w:after="100" w:before="0" w:line="280"/>
      </w:pPr>
      <w:r>
        <w:rPr>
          <w:rFonts w:ascii="Calibri" w:cs="Calibri" w:eastAsia="Calibri" w:hAnsi="Calibri"/>
          <w:color w:val="1D2433"/>
          <w:sz w:val="22"/>
          <w:szCs w:val="22"/>
        </w:rPr>
        <w:t xml:space="preserve">In the 2026-27 kindergarten lottery, Atkinson had the </w:t>
      </w:r>
      <w:r>
        <w:rPr>
          <w:rFonts w:ascii="Calibri" w:cs="Calibri" w:eastAsia="Calibri" w:hAnsi="Calibri"/>
          <w:b/>
          <w:bCs/>
          <w:color w:val="1D2433"/>
          <w:sz w:val="22"/>
          <w:szCs w:val="22"/>
        </w:rPr>
        <w:t xml:space="preserve">longest waitlist of any PPS immersion program</w:t>
      </w:r>
      <w:r>
        <w:rPr>
          <w:rFonts w:ascii="Calibri" w:cs="Calibri" w:eastAsia="Calibri" w:hAnsi="Calibri"/>
          <w:color w:val="1D2433"/>
          <w:sz w:val="22"/>
          <w:szCs w:val="22"/>
        </w:rPr>
        <w:t xml:space="preserve"> and the most applications of any Spanish program (only Richmond’s Japanese program had more). Over 5 years, it averaged about 5 applications for every seat offered (121 vs 24). Lent waitlisted 13 applicants in 2026-27.</w:t>
      </w:r>
    </w:p>
    <w:tbl>
      <w:tblPr>
        <w:tblW w:type="dxa" w:w="9300"/>
        <w:tblBorders>
          <w:top w:val="single" w:color="EAD9C3" w:sz="4"/>
          <w:left w:val="none" w:color="FFFFFF" w:sz="0"/>
          <w:bottom w:val="single" w:color="EAD9C3" w:sz="4"/>
          <w:right w:val="none" w:color="FFFFFF" w:sz="0"/>
          <w:insideH w:val="single" w:color="EAD9C3" w:sz="4"/>
          <w:insideV w:val="none" w:color="FFFFFF" w:sz="0"/>
        </w:tblBorders>
      </w:tblPr>
      <w:tblGrid>
        <w:gridCol w:w="2400"/>
        <w:gridCol w:w="1700"/>
        <w:gridCol w:w="3400"/>
        <w:gridCol w:w="1800"/>
      </w:tblGrid>
      <w:tr>
        <w:tc>
          <w:tcPr>
            <w:tcW w:type="dxa" w:w="2400"/>
            <w:shd w:fill="FDF1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B85"/>
                <w:sz w:val="19"/>
                <w:szCs w:val="19"/>
              </w:rPr>
              <w:t xml:space="preserve">Kindergarten lottery</w:t>
            </w:r>
          </w:p>
        </w:tc>
        <w:tc>
          <w:tcPr>
            <w:tcW w:type="dxa" w:w="1700"/>
            <w:shd w:fill="FDF1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B85"/>
                <w:sz w:val="19"/>
                <w:szCs w:val="19"/>
              </w:rPr>
              <w:t xml:space="preserve">Offered</w:t>
            </w:r>
          </w:p>
        </w:tc>
        <w:tc>
          <w:tcPr>
            <w:tcW w:type="dxa" w:w="3400"/>
            <w:shd w:fill="FDF1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B85"/>
                <w:sz w:val="19"/>
                <w:szCs w:val="19"/>
              </w:rPr>
              <w:t xml:space="preserve">Waitlisted</w:t>
            </w:r>
          </w:p>
        </w:tc>
        <w:tc>
          <w:tcPr>
            <w:tcW w:type="dxa" w:w="1800"/>
            <w:shd w:fill="FDF1E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73B85"/>
                <w:sz w:val="19"/>
                <w:szCs w:val="19"/>
              </w:rPr>
              <w:t xml:space="preserve">Applications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19"/>
                <w:szCs w:val="19"/>
              </w:rPr>
              <w:t xml:space="preserve">2026-27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19"/>
                <w:szCs w:val="19"/>
              </w:rPr>
              <w:t xml:space="preserve">25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19"/>
                <w:szCs w:val="19"/>
              </w:rPr>
              <w:t xml:space="preserve">47 (14 native and heritage)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19"/>
                <w:szCs w:val="19"/>
              </w:rPr>
              <w:t xml:space="preserve">125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19"/>
                <w:szCs w:val="19"/>
              </w:rPr>
              <w:t xml:space="preserve">2025-26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19"/>
                <w:szCs w:val="19"/>
              </w:rPr>
              <w:t xml:space="preserve">23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19"/>
                <w:szCs w:val="19"/>
              </w:rPr>
              <w:t xml:space="preserve">53 (10 native and heritage)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19"/>
                <w:szCs w:val="19"/>
              </w:rPr>
              <w:t xml:space="preserve">113</w:t>
            </w:r>
          </w:p>
        </w:tc>
      </w:tr>
      <w:tr>
        <w:tc>
          <w:tcPr>
            <w:tcW w:type="dxa" w:w="2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19"/>
                <w:szCs w:val="19"/>
              </w:rPr>
              <w:t xml:space="preserve">2024-25</w:t>
            </w:r>
          </w:p>
        </w:tc>
        <w:tc>
          <w:tcPr>
            <w:tcW w:type="dxa" w:w="17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19"/>
                <w:szCs w:val="19"/>
              </w:rPr>
              <w:t xml:space="preserve">24</w:t>
            </w:r>
          </w:p>
        </w:tc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19"/>
                <w:szCs w:val="19"/>
              </w:rPr>
              <w:t xml:space="preserve">47 (21 native and heritage)</w:t>
            </w:r>
          </w:p>
        </w:tc>
        <w:tc>
          <w:tcPr>
            <w:tcW w:type="dxa" w:w="18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433"/>
                <w:sz w:val="19"/>
                <w:szCs w:val="19"/>
              </w:rPr>
              <w:t xml:space="preserve">114</w:t>
            </w:r>
          </w:p>
        </w:tc>
      </w:tr>
    </w:tbl>
    <w:p>
      <w:pPr>
        <w:spacing w:after="60" w:before="50" w:line="280"/>
      </w:pPr>
      <w:r>
        <w:rPr>
          <w:rFonts w:ascii="Calibri" w:cs="Calibri" w:eastAsia="Calibri" w:hAnsi="Calibri"/>
          <w:i/>
          <w:iCs/>
          <w:color w:val="4A5263"/>
          <w:sz w:val="17"/>
          <w:szCs w:val="17"/>
        </w:rPr>
        <w:t xml:space="preserve">Native and heritage = children who speak Spanish at home or in the family. A family can be on more than one waitlist.</w:t>
      </w:r>
    </w:p>
    <w:p>
      <w:pPr>
        <w:keepNext/>
        <w:pBdr>
          <w:bottom w:val="single" w:color="F2A518" w:sz="18" w:space="3"/>
        </w:pBdr>
        <w:spacing w:after="110" w:before="300"/>
      </w:pPr>
      <w:r>
        <w:rPr>
          <w:rFonts w:ascii="Georgia" w:cs="Georgia" w:eastAsia="Georgia" w:hAnsi="Georgia"/>
          <w:b/>
          <w:bCs/>
          <w:color w:val="173B85"/>
          <w:sz w:val="25"/>
          <w:szCs w:val="25"/>
        </w:rPr>
        <w:t xml:space="preserve">Central site vs. edge site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D2433"/>
          <w:sz w:val="22"/>
          <w:szCs w:val="22"/>
        </w:rPr>
        <w:t xml:space="preserve">Atkinson is 1.8 miles from the district edge. Lent is 0.3 miles from it.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D2433"/>
          <w:sz w:val="22"/>
          <w:szCs w:val="22"/>
        </w:rPr>
        <w:t xml:space="preserve">Two in three Atkinson immersion students (118 of 178) already come from outside Atkinson’s neighborhood.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D2433"/>
          <w:sz w:val="22"/>
          <w:szCs w:val="22"/>
        </w:rPr>
        <w:t xml:space="preserve">Their trip to school would grow about 1 mile on average (estimate from PPS home-neighborhood data).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D2433"/>
          <w:sz w:val="22"/>
          <w:szCs w:val="22"/>
        </w:rPr>
        <w:t xml:space="preserve">Across PPS, the share of Spanish-speaking children (ages 5-17) living within 1 mile of a Spanish immersion school drops from about 52% to 36% under either scenario.</w:t>
      </w:r>
    </w:p>
    <w:p>
      <w:pPr>
        <w:keepNext/>
        <w:pBdr>
          <w:bottom w:val="single" w:color="F2A518" w:sz="18" w:space="3"/>
        </w:pBdr>
        <w:spacing w:after="110" w:before="300"/>
      </w:pPr>
      <w:r>
        <w:rPr>
          <w:rFonts w:ascii="Georgia" w:cs="Georgia" w:eastAsia="Georgia" w:hAnsi="Georgia"/>
          <w:b/>
          <w:bCs/>
          <w:color w:val="173B85"/>
          <w:sz w:val="25"/>
          <w:szCs w:val="25"/>
        </w:rPr>
        <w:t xml:space="preserve">Who moves, and what changes at Atkinson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D2433"/>
          <w:sz w:val="22"/>
          <w:szCs w:val="22"/>
        </w:rPr>
        <w:t xml:space="preserve">Atkinson’s immersion program is 70% Latino. Its neighborhood program is 8% Latino and 76% white.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D2433"/>
          <w:sz w:val="22"/>
          <w:szCs w:val="22"/>
        </w:rPr>
        <w:t xml:space="preserve">PPS’s own guide projects Atkinson after the move: historically underserved students 44% to 21%; multilingual learners 21% to 7%; poverty 32% to 23%.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D2433"/>
          <w:sz w:val="22"/>
          <w:szCs w:val="22"/>
        </w:rPr>
        <w:t xml:space="preserve">Racial separation among Southeast schools (Atkinson, Lent, Creston) rises: the Latino-white dissimilarity index goes from 0.35 to 0.58 (0 = evenly mixed, 1 = fully separate).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D2433"/>
          <w:sz w:val="22"/>
          <w:szCs w:val="22"/>
        </w:rPr>
        <w:t xml:space="preserve">Lent’s school grounds are about 120 feet from I-205. Atkinson is 1.5 miles from the nearest freeway.</w:t>
      </w:r>
    </w:p>
    <w:p>
      <w:r>
        <w:br w:type="page"/>
      </w:r>
    </w:p>
    <w:p>
      <w:pPr>
        <w:keepNext/>
        <w:pBdr>
          <w:bottom w:val="single" w:color="F2A518" w:sz="18" w:space="3"/>
        </w:pBdr>
        <w:spacing w:after="110" w:before="0"/>
      </w:pPr>
      <w:r>
        <w:rPr>
          <w:rFonts w:ascii="Georgia" w:cs="Georgia" w:eastAsia="Georgia" w:hAnsi="Georgia"/>
          <w:b/>
          <w:bCs/>
          <w:color w:val="173B85"/>
          <w:sz w:val="25"/>
          <w:szCs w:val="25"/>
        </w:rPr>
        <w:t xml:space="preserve">What happened last time: Bridger to Lent (2023)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D2433"/>
          <w:sz w:val="22"/>
          <w:szCs w:val="22"/>
        </w:rPr>
        <w:t xml:space="preserve">Lent now enrolls 31% fewer immersion kindergartners than Bridger and Lent did together before the move. The district fell 14% over the same period.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D2433"/>
          <w:sz w:val="22"/>
          <w:szCs w:val="22"/>
        </w:rPr>
        <w:t xml:space="preserve">PPS’s 2023 plan projected 527 students at Lent for 2025-26. Lent has 256, in a building for about 798 (32% full).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color w:val="1D2433"/>
          <w:sz w:val="22"/>
          <w:szCs w:val="22"/>
        </w:rPr>
        <w:t xml:space="preserve">PPS’s new guides expect only about 4 in 5 Atkinson immersion students to follow the program to Lent.</w:t>
      </w:r>
    </w:p>
    <w:p>
      <w:pPr>
        <w:keepNext/>
        <w:pBdr>
          <w:bottom w:val="single" w:color="F2A518" w:sz="18" w:space="3"/>
        </w:pBdr>
        <w:spacing w:after="110" w:before="300"/>
      </w:pPr>
      <w:r>
        <w:rPr>
          <w:rFonts w:ascii="Georgia" w:cs="Georgia" w:eastAsia="Georgia" w:hAnsi="Georgia"/>
          <w:b/>
          <w:bCs/>
          <w:color w:val="173B85"/>
          <w:sz w:val="25"/>
          <w:szCs w:val="25"/>
        </w:rPr>
        <w:t xml:space="preserve">Our concerns about Scenarios A and B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D2433"/>
          <w:sz w:val="22"/>
          <w:szCs w:val="22"/>
        </w:rPr>
        <w:t xml:space="preserve">Equity. </w:t>
      </w:r>
      <w:r>
        <w:rPr>
          <w:rFonts w:ascii="Calibri" w:cs="Calibri" w:eastAsia="Calibri" w:hAnsi="Calibri"/>
          <w:color w:val="1D2433"/>
          <w:sz w:val="22"/>
          <w:szCs w:val="22"/>
        </w:rPr>
        <w:t xml:space="preserve">Furthers segregation as an unintended consequence; increases vulnerability of an already frightened community; removes choice for ESL students; worsens environmental injustice.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D2433"/>
          <w:sz w:val="22"/>
          <w:szCs w:val="22"/>
        </w:rPr>
        <w:t xml:space="preserve">Enrollment. </w:t>
      </w:r>
      <w:r>
        <w:rPr>
          <w:rFonts w:ascii="Calibri" w:cs="Calibri" w:eastAsia="Calibri" w:hAnsi="Calibri"/>
          <w:color w:val="1D2433"/>
          <w:sz w:val="22"/>
          <w:szCs w:val="22"/>
        </w:rPr>
        <w:t xml:space="preserve">Demand could fill a second DLI kindergarten class, drawing families from across the city; NH DLI families overwhelmingly say they won’t transfer to Lent; Lent remains under-enrolled despite PPS’s projections.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D2433"/>
          <w:sz w:val="22"/>
          <w:szCs w:val="22"/>
        </w:rPr>
        <w:t xml:space="preserve">Community. </w:t>
      </w:r>
      <w:r>
        <w:rPr>
          <w:rFonts w:ascii="Calibri" w:cs="Calibri" w:eastAsia="Calibri" w:hAnsi="Calibri"/>
          <w:color w:val="1D2433"/>
          <w:sz w:val="22"/>
          <w:szCs w:val="22"/>
        </w:rPr>
        <w:t xml:space="preserve">A diverse school community is an asset to all students; Atkinson’s central Southeast location makes it reachable for native and heritage families from outside the neighborhood; walking and biking are a priority for Atkinson families.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rFonts w:ascii="Calibri" w:cs="Calibri" w:eastAsia="Calibri" w:hAnsi="Calibri"/>
          <w:b/>
          <w:bCs/>
          <w:color w:val="1D2433"/>
          <w:sz w:val="22"/>
          <w:szCs w:val="22"/>
        </w:rPr>
        <w:t xml:space="preserve">Process. </w:t>
      </w:r>
      <w:r>
        <w:rPr>
          <w:rFonts w:ascii="Calibri" w:cs="Calibri" w:eastAsia="Calibri" w:hAnsi="Calibri"/>
          <w:color w:val="1D2433"/>
          <w:sz w:val="22"/>
          <w:szCs w:val="22"/>
        </w:rPr>
        <w:t xml:space="preserve">Is four weeks really enough time to address the concerns of thousands of parents? Incomplete transition plans are unacceptable.</w:t>
      </w:r>
    </w:p>
    <w:p>
      <w:pPr>
        <w:keepNext/>
        <w:pBdr>
          <w:bottom w:val="single" w:color="F2A518" w:sz="18" w:space="3"/>
        </w:pBdr>
        <w:spacing w:after="110" w:before="300"/>
      </w:pPr>
      <w:r>
        <w:rPr>
          <w:rFonts w:ascii="Georgia" w:cs="Georgia" w:eastAsia="Georgia" w:hAnsi="Georgia"/>
          <w:b/>
          <w:bCs/>
          <w:color w:val="173B85"/>
          <w:sz w:val="25"/>
          <w:szCs w:val="25"/>
        </w:rPr>
        <w:t xml:space="preserve">Questions for Director Engleman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D2433"/>
          <w:sz w:val="22"/>
          <w:szCs w:val="22"/>
        </w:rPr>
        <w:t xml:space="preserve">After the Bridger move, Lent lost families beyond the district trend. What will PPS do differently to keep Atkinson families?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D2433"/>
          <w:sz w:val="22"/>
          <w:szCs w:val="22"/>
        </w:rPr>
        <w:t xml:space="preserve">Every projection for Lent has been too high (527 planned, 256 actual). Why is the new 400+ projection more reliable?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D2433"/>
          <w:sz w:val="22"/>
          <w:szCs w:val="22"/>
        </w:rPr>
        <w:t xml:space="preserve">Will PPS provide bus service from the Atkinson area to Lent? Busing plans so far are shown only for North Portland.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D2433"/>
          <w:sz w:val="22"/>
          <w:szCs w:val="22"/>
        </w:rPr>
        <w:t xml:space="preserve">Has PPS measured air quality at Lent, next to I-205? What filtration or other protections are planned?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D2433"/>
          <w:sz w:val="22"/>
          <w:szCs w:val="22"/>
        </w:rPr>
        <w:t xml:space="preserve">Can current Atkinson immersion students and their younger siblings finish at Atkinson? What is the timeline?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D2433"/>
          <w:sz w:val="22"/>
          <w:szCs w:val="22"/>
        </w:rPr>
        <w:t xml:space="preserve">PPS’s guide says Lent with Atkinson’s program meets the size goal but not the space goal. What does that mean?</w:t>
      </w:r>
    </w:p>
    <w:p>
      <w:pPr>
        <w:pStyle w:val="ListParagraph"/>
        <w:numPr>
          <w:ilvl w:val="0"/>
          <w:numId w:val="3"/>
        </w:numPr>
        <w:spacing w:after="90" w:line="276"/>
      </w:pPr>
      <w:r>
        <w:rPr>
          <w:rFonts w:ascii="Calibri" w:cs="Calibri" w:eastAsia="Calibri" w:hAnsi="Calibri"/>
          <w:color w:val="1D2433"/>
          <w:sz w:val="22"/>
          <w:szCs w:val="22"/>
        </w:rPr>
        <w:t xml:space="preserve">Did PPS study keeping a central Southeast Spanish immersion site?</w:t>
      </w:r>
    </w:p>
    <w:p>
      <w:pPr>
        <w:keepNext/>
        <w:pBdr>
          <w:bottom w:val="single" w:color="F2A518" w:sz="18" w:space="3"/>
        </w:pBdr>
        <w:spacing w:after="110" w:before="300"/>
      </w:pPr>
      <w:r>
        <w:rPr>
          <w:rFonts w:ascii="Georgia" w:cs="Georgia" w:eastAsia="Georgia" w:hAnsi="Georgia"/>
          <w:b/>
          <w:bCs/>
          <w:color w:val="173B85"/>
          <w:sz w:val="25"/>
          <w:szCs w:val="25"/>
        </w:rPr>
        <w:t xml:space="preserve">What we ask</w:t>
      </w:r>
    </w:p>
    <w:tbl>
      <w:tblPr>
        <w:tblW w:type="dxa" w:w="10240"/>
        <w:tblBorders>
          <w:top w:val="none" w:color="FFFFFF" w:sz="0"/>
          <w:left w:val="single" w:color="F2A518" w:sz="36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40"/>
      </w:tblGrid>
      <w:tr>
        <w:tc>
          <w:tcPr>
            <w:tcW w:type="dxa" w:w="10240"/>
            <w:shd w:fill="FDF1E1" w:color="auto" w:val="clear"/>
            <w:tcMar>
              <w:top w:type="dxa" w:w="140"/>
              <w:left w:type="dxa" w:w="260"/>
              <w:bottom w:type="dxa" w:w="140"/>
              <w:right w:type="dxa" w:w="26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color w:val="1D2433"/>
                <w:sz w:val="23"/>
                <w:szCs w:val="23"/>
              </w:rPr>
              <w:t xml:space="preserve">Pause the process to allow deep engagement with PPS families and revision of the proposals.</w:t>
            </w:r>
          </w:p>
          <w:p>
            <w:r>
              <w:rPr>
                <w:rFonts w:ascii="Calibri" w:cs="Calibri" w:eastAsia="Calibri" w:hAnsi="Calibri"/>
                <w:color w:val="1D2433"/>
                <w:sz w:val="23"/>
                <w:szCs w:val="23"/>
              </w:rPr>
              <w:t xml:space="preserve">Explore creative solutions like moving Creston students to Glencoe (suggested at a recent district meeting).</w:t>
            </w:r>
          </w:p>
        </w:tc>
      </w:tr>
    </w:tbl>
    <w:p>
      <w:pPr>
        <w:pBdr>
          <w:top w:val="single" w:color="EAD9C3" w:sz="4" w:space="6"/>
        </w:pBdr>
        <w:spacing w:after="100" w:before="120" w:line="220"/>
      </w:pPr>
      <w:r>
        <w:rPr>
          <w:rFonts w:ascii="Calibri" w:cs="Calibri" w:eastAsia="Calibri" w:hAnsi="Calibri"/>
          <w:b/>
          <w:bCs/>
          <w:color w:val="4A5263"/>
          <w:sz w:val="16"/>
          <w:szCs w:val="16"/>
        </w:rPr>
        <w:t xml:space="preserve">Sources: </w:t>
      </w:r>
      <w:r>
        <w:rPr>
          <w:rFonts w:ascii="Calibri" w:cs="Calibri" w:eastAsia="Calibri" w:hAnsi="Calibri"/>
          <w:color w:val="4A5263"/>
          <w:sz w:val="16"/>
          <w:szCs w:val="16"/>
        </w:rPr>
        <w:t xml:space="preserve">PPS 2026-27 Kindergarten Lottery Results and 2022-23 to 2026-27 lottery reports; PPS School Profiles dashboard (2025); PPS Enrollment Summary by Race and Ethnicity and Language Immersion Track Profiles (Oct 2025); PPS rightsizing school guides for Atkinson and Lent (Oct 8, 2026); PPS Enrollment by Neighborhood of Residence; PSU enrollment forecasts; PPS Southeast Guiding Coalition equity audit; U.S. Census ACS (C16001/B16007); OpenStreetMap. Analysis: </w:t>
      </w:r>
      <w:hyperlink w:history="1" r:id="rIdogjvzte5yzrhg-y6h-xsm">
        <w:r>
          <w:rPr>
            <w:rFonts w:ascii="Calibri" w:cs="Calibri" w:eastAsia="Calibri" w:hAnsi="Calibri"/>
            <w:color w:val="173B85"/>
            <w:sz w:val="16"/>
            <w:szCs w:val="16"/>
            <w:u w:val="single"/>
          </w:rPr>
          <w:t xml:space="preserve">pps-dli-explorer.netlify.app</w:t>
        </w:r>
      </w:hyperlink>
      <w:r>
        <w:rPr>
          <w:rFonts w:ascii="Calibri" w:cs="Calibri" w:eastAsia="Calibri" w:hAnsi="Calibri"/>
          <w:color w:val="4A5263"/>
          <w:sz w:val="16"/>
          <w:szCs w:val="16"/>
        </w:rPr>
        <w:t xml:space="preserve"> (independent; builds on pps-explorer by Jason Brown and ppsdata.info). Distances and the 1-mile trip increase are estimates; see the site’s Methods page.</w:t>
      </w:r>
    </w:p>
    <w:sectPr>
      <w:pgSz w:w="12240" w:h="15840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00" w:hanging="220"/>
      </w:pPr>
      <w:rPr>
        <w:color w:val="173B85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300"/>
      </w:pPr>
      <w:rPr>
        <w:b/>
        <w:bCs/>
        <w:color w:val="173B8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gjvzte5yzrhg-y6h-xsm" Type="http://schemas.openxmlformats.org/officeDocument/2006/relationships/hyperlink" Target="https://pps-dli-explorer.netlify.app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2026-10-15T03:52:58.927Z</dcterms:created>
  <dcterms:modified xsi:type="dcterms:W3CDTF">2026-10-15T03:52:58.928Z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