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jc w:val="center"/>
      </w:pPr>
      <w:r>
        <w:rPr>
          <w:rFonts w:ascii="Calibri" w:cs="Calibri" w:eastAsia="Calibri" w:hAnsi="Calibri"/>
          <w:b/>
          <w:bCs/>
          <w:sz w:val="56"/>
          <w:szCs w:val="56"/>
        </w:rPr>
        <w:t xml:space="preserve">Per%Sense Web Port</w:t>
      </w:r>
    </w:p>
    <w:p>
      <w:pPr>
        <w:spacing w:after="1200"/>
        <w:jc w:val="center"/>
      </w:pPr>
      <w:r>
        <w:rPr>
          <w:rFonts w:ascii="Calibri" w:cs="Calibri" w:eastAsia="Calibri" w:hAnsi="Calibri"/>
          <w:i/>
          <w:iCs/>
          <w:sz w:val="32"/>
          <w:szCs w:val="32"/>
        </w:rPr>
        <w:t xml:space="preserve">Feature &amp; Application Differences vs. the Original Application</w:t>
      </w:r>
    </w:p>
    <w:p>
      <w:pPr>
        <w:spacing w:after="240"/>
        <w:jc w:val="center"/>
      </w:pPr>
      <w:r>
        <w:rPr>
          <w:rFonts w:ascii="Calibri" w:cs="Calibri" w:eastAsia="Calibri" w:hAnsi="Calibri"/>
          <w:sz w:val="24"/>
          <w:szCs w:val="24"/>
        </w:rPr>
        <w:t xml:space="preserve">Prepared for the client</w:t>
      </w:r>
    </w:p>
    <w:p>
      <w:pPr>
        <w:spacing w:after="240"/>
        <w:jc w:val="center"/>
      </w:pPr>
      <w:r>
        <w:rPr>
          <w:rFonts w:ascii="Calibri" w:cs="Calibri" w:eastAsia="Calibri" w:hAnsi="Calibri"/>
          <w:sz w:val="24"/>
          <w:szCs w:val="24"/>
        </w:rPr>
        <w:t xml:space="preserve">27 May 2026</w:t>
      </w:r>
    </w:p>
    <w:p>
      <w:pPr>
        <w:spacing w:after="1200"/>
        <w:jc w:val="center"/>
      </w:pPr>
      <w:r>
        <w:rPr>
          <w:rFonts w:ascii="Calibri" w:cs="Calibri" w:eastAsia="Calibri" w:hAnsi="Calibri"/>
          <w:i/>
          <w:iCs/>
          <w:color w:val="808080"/>
          <w:sz w:val="18"/>
          <w:szCs w:val="18"/>
        </w:rPr>
        <w:t xml:space="preserve">Revision 2 — includes follow-on work from the original recommended next-steps</w:t>
      </w:r>
    </w:p>
    <w:p>
      <w:r>
        <w:br w:type="page"/>
      </w:r>
    </w:p>
    <w:p>
      <w:pPr>
        <w:pStyle w:val="Heading1"/>
        <w:spacing w:after="240" w:before="360"/>
      </w:pPr>
      <w:r>
        <w:rPr>
          <w:rFonts w:ascii="Calibri" w:cs="Calibri" w:eastAsia="Calibri" w:hAnsi="Calibri"/>
          <w:b/>
          <w:bCs/>
          <w:sz w:val="36"/>
          <w:szCs w:val="36"/>
        </w:rPr>
        <w:t xml:space="preserve">1. Executive summary</w:t>
      </w:r>
    </w:p>
    <w:p>
      <w:pPr>
        <w:spacing w:after="120"/>
      </w:pPr>
      <w:r>
        <w:rPr>
          <w:b w:val="false"/>
          <w:bCs w:val="false"/>
          <w:i w:val="false"/>
          <w:iCs w:val="false"/>
        </w:rPr>
        <w:t xml:space="preserve">This report summarises the differences between the original Per%Sense application (the Pascal codebase under legacy/src/) and the new Go web port (the working tree under internal/, cmd/, and web/). Differences are grouped into three categories — application, solver, and user interface — followed by a section on features that were intentionally not ported, with the rationale for each.</w:t>
      </w:r>
    </w:p>
    <w:p>
      <w:pPr>
        <w:spacing w:after="120"/>
      </w:pPr>
      <w:r>
        <w:rPr>
          <w:b w:val="false"/>
          <w:bCs w:val="false"/>
          <w:i w:val="false"/>
          <w:iCs w:val="false"/>
        </w:rPr>
        <w:t xml:space="preserve">The bottom line: all three user-facing screens shipped in the original Windows build (Mortgage, Amortization, Present Value) are reproduced in the port, including the original application's distinctive “field-presence dispatch” behaviour. Financial-calculation fidelity is high — a 13-case DOS-output cross-check suite passes byte-for-byte against reference values generated by the original Pascal code, and a further 127 help-documentation example assertions all match. The two areas where the port deliberately diverges from the original are (a) the delivery model (web app and REST API in place of a Windows desktop application) and (b) a small number of features that did not make sense to carry over in a stateless web context — most notably the original binary file format, the per-screen undo buffers, and the bespoke clipboard layer.</w:t>
      </w:r>
    </w:p>
    <w:p>
      <w:pPr>
        <w:spacing w:after="120"/>
      </w:pPr>
      <w:r>
        <w:rPr>
          <w:b w:val="false"/>
          <w:bCs w:val="false"/>
          <w:i w:val="false"/>
          <w:iCs w:val="false"/>
        </w:rPr>
        <w:t xml:space="preserve">Three residual financial-fidelity gaps remain. All are explicitly scoped down with documented rationale (see Section 5), all are bounded in size, and none are believed to affect common-path schedules. They are flagged in this report so that the client can decide whether to fund closing them in a future iteration.</w:t>
      </w:r>
    </w:p>
    <w:p>
      <w:pPr>
        <w:spacing w:after="120"/>
      </w:pPr>
      <w:r>
        <w:rPr>
          <w:b w:val="false"/>
          <w:bCs w:val="false"/>
          <w:i w:val="false"/>
          <w:iCs w:val="false"/>
        </w:rPr>
        <w:t xml:space="preserve">This is Revision 2 of the report. Since the first revision, four follow-on work items have been completed: the .psn legacy file format is now importable through the web UI; the Amortization screen offers a yearly/quarterly summary view alongside the per-payment schedule; the Pascal reference-data harness has been extended with Rule-of-78, in-advance annuity, and biweekly-basis cases; and an Iterate-style Newton refinement now sits on top of the fancy-loan backward solvers (SolveLoanAmount and SolveRate). Section 7 details what changed.</w:t>
      </w:r>
    </w:p>
    <w:p>
      <w:pPr>
        <w:pStyle w:val="Heading1"/>
        <w:spacing w:after="240" w:before="360"/>
      </w:pPr>
      <w:r>
        <w:rPr>
          <w:rFonts w:ascii="Calibri" w:cs="Calibri" w:eastAsia="Calibri" w:hAnsi="Calibri"/>
          <w:b/>
          <w:bCs/>
          <w:sz w:val="36"/>
          <w:szCs w:val="36"/>
        </w:rPr>
        <w:t xml:space="preserve">2. Background and methodology</w:t>
      </w:r>
    </w:p>
    <w:p>
      <w:pPr>
        <w:spacing w:after="120"/>
      </w:pPr>
      <w:r>
        <w:rPr>
          <w:b w:val="false"/>
          <w:bCs w:val="false"/>
          <w:i w:val="false"/>
          <w:iCs w:val="false"/>
        </w:rPr>
        <w:t xml:space="preserve">The original Per%Sense exists in two source trees under legacy/src/: a DOS build (dos_source/) treated as the authoritative reference for financial logic, and a Windows build (win_source/) treated as the authoritative reference for user-facing behaviour and help documentation. The port targets the user-facing surface of the Windows ship, with financial-engine fidelity measured against the DOS source.</w:t>
      </w:r>
    </w:p>
    <w:p>
      <w:pPr>
        <w:spacing w:after="120"/>
      </w:pPr>
      <w:r>
        <w:rPr>
          <w:b w:val="false"/>
          <w:bCs w:val="false"/>
          <w:i w:val="false"/>
          <w:iCs w:val="false"/>
        </w:rPr>
        <w:t xml:space="preserve">The following sources were consulted in preparing this report:</w:t>
      </w:r>
    </w:p>
    <w:p>
      <w:pPr>
        <w:pStyle w:val="ListParagraph"/>
        <w:numPr>
          <w:ilvl w:val="0"/>
          <w:numId w:val="2"/>
        </w:numPr>
        <w:spacing w:after="80"/>
      </w:pPr>
      <w:r>
        <w:rPr>
          <w:rFonts w:ascii="Calibri" w:cs="Calibri" w:eastAsia="Calibri" w:hAnsi="Calibri"/>
          <w:sz w:val="22"/>
          <w:szCs w:val="22"/>
        </w:rPr>
        <w:t xml:space="preserve">The Pascal source trees under legacy/src/dos_source/ and legacy/src/win_source/.</w:t>
      </w:r>
    </w:p>
    <w:p>
      <w:pPr>
        <w:pStyle w:val="ListParagraph"/>
        <w:numPr>
          <w:ilvl w:val="0"/>
          <w:numId w:val="2"/>
        </w:numPr>
        <w:spacing w:after="80"/>
      </w:pPr>
      <w:r>
        <w:rPr>
          <w:rFonts w:ascii="Calibri" w:cs="Calibri" w:eastAsia="Calibri" w:hAnsi="Calibri"/>
          <w:sz w:val="22"/>
          <w:szCs w:val="22"/>
        </w:rPr>
        <w:t xml:space="preserve">The original user-facing help documentation under legacy/src/win_source/Help/.</w:t>
      </w:r>
    </w:p>
    <w:p>
      <w:pPr>
        <w:pStyle w:val="ListParagraph"/>
        <w:numPr>
          <w:ilvl w:val="0"/>
          <w:numId w:val="2"/>
        </w:numPr>
        <w:spacing w:after="80"/>
      </w:pPr>
      <w:r>
        <w:rPr>
          <w:rFonts w:ascii="Calibri" w:cs="Calibri" w:eastAsia="Calibri" w:hAnsi="Calibri"/>
          <w:sz w:val="22"/>
          <w:szCs w:val="22"/>
        </w:rPr>
        <w:t xml:space="preserve">The Go port under internal/, cmd/persense/, and web/.</w:t>
      </w:r>
    </w:p>
    <w:p>
      <w:pPr>
        <w:pStyle w:val="ListParagraph"/>
        <w:numPr>
          <w:ilvl w:val="0"/>
          <w:numId w:val="2"/>
        </w:numPr>
        <w:spacing w:after="80"/>
      </w:pPr>
      <w:r>
        <w:rPr>
          <w:rFonts w:ascii="Calibri" w:cs="Calibri" w:eastAsia="Calibri" w:hAnsi="Calibri"/>
          <w:sz w:val="22"/>
          <w:szCs w:val="22"/>
        </w:rPr>
        <w:t xml:space="preserve">The project's own audit documents: CLAUDE.md, docs/dispatch_gaps.md (Revision 9, 2026-05-26), docs/discrepancies.md, docs/missing_flows.md, docs/help_examples_test_report.md, and docs/test_plan.md.</w:t>
      </w:r>
    </w:p>
    <w:p>
      <w:pPr>
        <w:pStyle w:val="ListParagraph"/>
        <w:numPr>
          <w:ilvl w:val="0"/>
          <w:numId w:val="2"/>
        </w:numPr>
        <w:spacing w:after="80"/>
      </w:pPr>
      <w:r>
        <w:rPr>
          <w:rFonts w:ascii="Calibri" w:cs="Calibri" w:eastAsia="Calibri" w:hAnsi="Calibri"/>
          <w:sz w:val="22"/>
          <w:szCs w:val="22"/>
        </w:rPr>
        <w:t xml:space="preserve">The repository's automated test suite (~600 tests, including 13 DOS-output cross-check cases and 127 help-example assertions).</w:t>
      </w:r>
    </w:p>
    <w:p>
      <w:pPr>
        <w:pStyle w:val="Heading1"/>
        <w:spacing w:after="240" w:before="360"/>
      </w:pPr>
      <w:r>
        <w:rPr>
          <w:rFonts w:ascii="Calibri" w:cs="Calibri" w:eastAsia="Calibri" w:hAnsi="Calibri"/>
          <w:b/>
          <w:bCs/>
          <w:sz w:val="36"/>
          <w:szCs w:val="36"/>
        </w:rPr>
        <w:t xml:space="preserve">3. Application differences</w:t>
      </w:r>
    </w:p>
    <w:p>
      <w:pPr>
        <w:spacing w:after="120"/>
      </w:pPr>
      <w:r>
        <w:rPr>
          <w:b w:val="false"/>
          <w:bCs w:val="false"/>
          <w:i w:val="false"/>
          <w:iCs w:val="false"/>
        </w:rPr>
        <w:t xml:space="preserve">These are differences in the way the software is built, delivered, and operated. They do not change financial output.</w:t>
      </w:r>
    </w:p>
    <w:p>
      <w:pPr>
        <w:pStyle w:val="Heading2"/>
        <w:spacing w:after="120" w:before="240"/>
      </w:pPr>
      <w:r>
        <w:rPr>
          <w:rFonts w:ascii="Calibri" w:cs="Calibri" w:eastAsia="Calibri" w:hAnsi="Calibri"/>
          <w:b/>
          <w:bCs/>
          <w:sz w:val="28"/>
          <w:szCs w:val="28"/>
        </w:rPr>
        <w:t xml:space="preserve">3.1 Architecture and deployment</w:t>
      </w:r>
    </w:p>
    <w:p>
      <w:pPr>
        <w:spacing w:after="120"/>
      </w:pPr>
      <w:r>
        <w:rPr>
          <w:b w:val="false"/>
          <w:bCs w:val="false"/>
          <w:i w:val="false"/>
          <w:iCs w:val="false"/>
        </w:rPr>
        <w:t xml:space="preserve">The original was a single-user Pascal desktop application linked against the Borland/Delphi runtime, distributed as a Windows executable. The port is a single Go binary that serves a REST API at /api/* and a self-contained single-page web frontend embedded via go:embed. There is no installer, no per-user configuration, and no external dependency beyond a modern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Aspect</w:t>
            </w:r>
          </w:p>
        </w:tc>
        <w:tc>
          <w:tcPr>
            <w:tcW w:type="dxa" w:w="358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Original</w:t>
            </w:r>
          </w:p>
        </w:tc>
        <w:tc>
          <w:tcPr>
            <w:tcW w:type="dxa" w:w="358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Port</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Delivery</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Windows desktop binary (Delphi VCL)</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Single Go binary serving a web app</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UI runtime</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Native Win32 forms</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HTML + Tailwind CSS + vanilla JS, rendered by the browser</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State</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Local per-screen workspace; can be persisted to .psn files</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Stateless REST; client-side autosave to browser localStorage</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Configuration</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Settings dialog persisted to local config</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Settings dialog in the browser, persisted to localStorage</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Concurrency model</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Single-user, single-window</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Stateless server; supports any number of concurrent users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External dependencies</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Borland runtime; Windows OS</w:t>
            </w:r>
          </w:p>
        </w:tc>
        <w:tc>
          <w:tcPr>
            <w:tcW w:type="dxa" w:w="3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Go standard library plus shopspring/decimal at the boundary</w:t>
            </w:r>
          </w:p>
        </w:tc>
      </w:tr>
    </w:tbl>
    <w:p>
      <w:pPr>
        <w:pStyle w:val="Heading2"/>
        <w:spacing w:after="120" w:before="240"/>
      </w:pPr>
      <w:r>
        <w:rPr>
          <w:rFonts w:ascii="Calibri" w:cs="Calibri" w:eastAsia="Calibri" w:hAnsi="Calibri"/>
          <w:b/>
          <w:bCs/>
          <w:sz w:val="28"/>
          <w:szCs w:val="28"/>
        </w:rPr>
        <w:t xml:space="preserve">3.2 Screens and product scope</w:t>
      </w:r>
    </w:p>
    <w:p>
      <w:pPr>
        <w:spacing w:after="120"/>
      </w:pPr>
      <w:r>
        <w:rPr>
          <w:b w:val="false"/>
          <w:bCs w:val="false"/>
          <w:i w:val="false"/>
          <w:iCs w:val="false"/>
        </w:rPr>
        <w:t xml:space="preserve">The original Pascal source tree refers internally to five screens — Mortgage (MTG), Amortization (AMZ), Present Value (PVL), Chronological (CHR), and Investment (INV) — plus a conditional Rebate (RBT) screen guarded by a compile-time flag. However, only the first three were shipped in the official Windows product. The Quick-Tour help docs (QT_Overview.html) describe Per%Sense as “a set of three independent calculation screens.”</w:t>
      </w:r>
    </w:p>
    <w:p>
      <w:pPr>
        <w:spacing w:after="120"/>
      </w:pPr>
      <w:r>
        <w:rPr>
          <w:b w:val="false"/>
          <w:bCs w:val="false"/>
          <w:i w:val="false"/>
          <w:iCs w:val="false"/>
        </w:rPr>
        <w:t xml:space="preserve">The port reproduces exactly the three shipped screens. The Chronological, Investment, and Rebate screens remain in the legacy source tree but were not carried forward, as discussed in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Screen</w:t>
            </w:r>
          </w:p>
        </w:tc>
        <w:tc>
          <w:tcPr>
            <w:tcW w:type="dxa" w:w="33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Original (Windows ship)</w:t>
            </w:r>
          </w:p>
        </w:tc>
        <w:tc>
          <w:tcPr>
            <w:tcW w:type="dxa" w:w="336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Port</w:t>
            </w:r>
          </w:p>
        </w:tc>
      </w:tr>
      <w:tr>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Mortgage</w:t>
            </w:r>
          </w:p>
        </w:tc>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Shipped</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Ported</w:t>
            </w:r>
          </w:p>
        </w:tc>
      </w:tr>
      <w:tr>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Amortization</w:t>
            </w:r>
          </w:p>
        </w:tc>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Shipped</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Ported</w:t>
            </w:r>
          </w:p>
        </w:tc>
      </w:tr>
      <w:tr>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Present Value</w:t>
            </w:r>
          </w:p>
        </w:tc>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Shipped</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Ported</w:t>
            </w:r>
          </w:p>
        </w:tc>
      </w:tr>
      <w:tr>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Chronological (CHR)</w:t>
            </w:r>
          </w:p>
        </w:tc>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Internal/compile-time</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Not ported</w:t>
            </w:r>
          </w:p>
        </w:tc>
      </w:tr>
      <w:tr>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Investment (INV)</w:t>
            </w:r>
          </w:p>
        </w:tc>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Internal/compile-time</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Not ported</w:t>
            </w:r>
          </w:p>
        </w:tc>
      </w:tr>
      <w:tr>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Rebate (RBT)</w:t>
            </w:r>
          </w:p>
        </w:tc>
        <w:tc>
          <w:tcPr>
            <w:tcW w:type="dxa" w:w="33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Conditional ($ifdef)</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Not ported</w:t>
            </w:r>
          </w:p>
        </w:tc>
      </w:tr>
    </w:tbl>
    <w:p>
      <w:pPr>
        <w:pStyle w:val="Heading2"/>
        <w:spacing w:after="120" w:before="240"/>
      </w:pPr>
      <w:r>
        <w:rPr>
          <w:rFonts w:ascii="Calibri" w:cs="Calibri" w:eastAsia="Calibri" w:hAnsi="Calibri"/>
          <w:b/>
          <w:bCs/>
          <w:sz w:val="28"/>
          <w:szCs w:val="28"/>
        </w:rPr>
        <w:t xml:space="preserve">3.3 File I/O and persistence</w:t>
      </w:r>
    </w:p>
    <w:p>
      <w:pPr>
        <w:spacing w:after="120"/>
      </w:pPr>
      <w:r>
        <w:rPr>
          <w:b w:val="false"/>
          <w:bCs w:val="false"/>
          <w:i w:val="false"/>
          <w:iCs w:val="false"/>
        </w:rPr>
        <w:t xml:space="preserve">The original could save and load full workspaces (“.psn” files), a Pascal-side binary format covering all three screens including the per-cell hardness metadata. The Go port now reads this format end-to-end: an Import .psn File button on the Welcome screen accepts a legacy file, the new POST /api/import/psn endpoint parses it via the existing internal/fileio decoder, and the contents are routed into the appropriate screen's input grid. The legacy format remains read-only — the port does not yet write .psn files, but in practice a user can import their old workspace and then use the modern CSV export and browser autosave for persistence going forward.</w:t>
      </w:r>
    </w:p>
    <w:p>
      <w:pPr>
        <w:spacing w:after="120"/>
      </w:pPr>
      <w:r>
        <w:rPr>
          <w:b w:val="false"/>
          <w:bCs w:val="false"/>
          <w:i w:val="false"/>
          <w:iCs w:val="false"/>
        </w:rPr>
        <w:t xml:space="preserve">Beyond .psn import, the port offers two simpler persistence affordances: per-screen CSV export (one button per screen) and automatic save-on-edit to browser localStorage, restored on page reload.</w:t>
      </w:r>
    </w:p>
    <w:p>
      <w:pPr>
        <w:pStyle w:val="Heading2"/>
        <w:spacing w:after="120" w:before="240"/>
      </w:pPr>
      <w:r>
        <w:rPr>
          <w:rFonts w:ascii="Calibri" w:cs="Calibri" w:eastAsia="Calibri" w:hAnsi="Calibri"/>
          <w:b/>
          <w:bCs/>
          <w:sz w:val="28"/>
          <w:szCs w:val="28"/>
        </w:rPr>
        <w:t xml:space="preserve">3.4 Settings and computational options</w:t>
      </w:r>
    </w:p>
    <w:p>
      <w:pPr>
        <w:spacing w:after="120"/>
      </w:pPr>
      <w:r>
        <w:rPr>
          <w:b w:val="false"/>
          <w:bCs w:val="false"/>
          <w:i w:val="false"/>
          <w:iCs w:val="false"/>
        </w:rPr>
        <w:t xml:space="preserve">The original exposed a Computational Settings dialog with ten options. The port exposes effectively the same dialog in the browser, with a settings badge in the title bar that lights up when any setting is non-default. The mapping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Computational setting</w:t>
            </w:r>
          </w:p>
        </w:tc>
        <w:tc>
          <w:tcPr>
            <w:tcW w:type="dxa" w:w="22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Original</w:t>
            </w:r>
          </w:p>
        </w:tc>
        <w:tc>
          <w:tcPr>
            <w:tcW w:type="dxa" w:w="416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Port</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payments per year</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 (incl. CAN, DAY)</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 (UI dropdown; CAN/DAY values present but only standard frequencies threaded through engine)</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COLA escalation month</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 (anniversary, continuous, or fixed month 1–12)</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Interest on interest (USA Rule)</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 (Actuarial vs. USA Rule)</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Day-count basis (360, 365, 365/360)</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1st interest prepaid at settlement</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Interest in arrears vs. advance</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 (annuity-due path)</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Balloon includes regular payment</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Exact method (sub-day timing)</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Exposed in UI but not wired into the engine (see Section 5.3)</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Rule of 78s</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 (basic schedules only)</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Y2K century divider</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4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Disabled in UI; all date fields require a 4-digit year</w:t>
            </w:r>
          </w:p>
        </w:tc>
      </w:tr>
    </w:tbl>
    <w:p>
      <w:r>
        <w:br w:type="page"/>
      </w:r>
    </w:p>
    <w:p>
      <w:pPr>
        <w:pStyle w:val="Heading1"/>
        <w:spacing w:after="240" w:before="360"/>
      </w:pPr>
      <w:r>
        <w:rPr>
          <w:rFonts w:ascii="Calibri" w:cs="Calibri" w:eastAsia="Calibri" w:hAnsi="Calibri"/>
          <w:b/>
          <w:bCs/>
          <w:sz w:val="36"/>
          <w:szCs w:val="36"/>
        </w:rPr>
        <w:t xml:space="preserve">4. Solver differences</w:t>
      </w:r>
    </w:p>
    <w:p>
      <w:pPr>
        <w:spacing w:after="120"/>
      </w:pPr>
      <w:r>
        <w:rPr>
          <w:b w:val="false"/>
          <w:bCs w:val="false"/>
          <w:i w:val="false"/>
          <w:iCs w:val="false"/>
        </w:rPr>
        <w:t xml:space="preserve">Financial-engine fidelity was the primary success criterion for the port. As of the most recent audit (dispatch_gaps.md, Revision 9, 2026-05-26), all 8 Mortgage dispatch arms, all 7 Present Value backward-solve arms (PV-1, PV-2, PV-4, PV-5, PV-6, PV-8, PV-9), and all advanced-option arms of the Amortization engine are ported.</w:t>
      </w:r>
    </w:p>
    <w:p>
      <w:pPr>
        <w:pStyle w:val="Heading2"/>
        <w:spacing w:after="120" w:before="240"/>
      </w:pPr>
      <w:r>
        <w:rPr>
          <w:rFonts w:ascii="Calibri" w:cs="Calibri" w:eastAsia="Calibri" w:hAnsi="Calibri"/>
          <w:b/>
          <w:bCs/>
          <w:sz w:val="28"/>
          <w:szCs w:val="28"/>
        </w:rPr>
        <w:t xml:space="preserve">4.1 Behaviours preserved exactly from DOS</w:t>
      </w:r>
    </w:p>
    <w:p>
      <w:pPr>
        <w:pStyle w:val="ListParagraph"/>
        <w:numPr>
          <w:ilvl w:val="0"/>
          <w:numId w:val="2"/>
        </w:numPr>
        <w:spacing w:after="80"/>
      </w:pPr>
      <w:r>
        <w:rPr>
          <w:rFonts w:ascii="Calibri" w:cs="Calibri" w:eastAsia="Calibri" w:hAnsi="Calibri"/>
          <w:b/>
          <w:bCs/>
          <w:sz w:val="22"/>
          <w:szCs w:val="22"/>
        </w:rPr>
        <w:t xml:space="preserve">Round-half-down (“DOS Round2”) — </w:t>
      </w:r>
      <w:r>
        <w:rPr>
          <w:rFonts w:ascii="Calibri" w:cs="Calibri" w:eastAsia="Calibri" w:hAnsi="Calibri"/>
          <w:sz w:val="22"/>
          <w:szCs w:val="22"/>
        </w:rPr>
        <w:t xml:space="preserve">the engine truncates at .5 toward zero rather than using banker's rounding. Replicated in internal/finance/interest.Round2().</w:t>
      </w:r>
    </w:p>
    <w:p>
      <w:pPr>
        <w:pStyle w:val="ListParagraph"/>
        <w:numPr>
          <w:ilvl w:val="0"/>
          <w:numId w:val="2"/>
        </w:numPr>
        <w:spacing w:after="80"/>
      </w:pPr>
      <w:r>
        <w:rPr>
          <w:rFonts w:ascii="Calibri" w:cs="Calibri" w:eastAsia="Calibri" w:hAnsi="Calibri"/>
          <w:b/>
          <w:bCs/>
          <w:sz w:val="22"/>
          <w:szCs w:val="22"/>
        </w:rPr>
        <w:t xml:space="preserve">Continuous-compounding Summation — </w:t>
      </w:r>
      <w:r>
        <w:rPr>
          <w:rFonts w:ascii="Calibri" w:cs="Calibri" w:eastAsia="Calibri" w:hAnsi="Calibri"/>
          <w:sz w:val="22"/>
          <w:szCs w:val="22"/>
        </w:rPr>
        <w:t xml:space="preserve">the Pascal formula sum = f · (1 − last) / (1 − f) with f = exp(−r/12) is preserved verbatim. The port pairs this with a rate-conversion step at the API boundary (LoanRateToTrueRate) so that user-supplied loan rates are converted to the continuously-compounded equivalent before entering the formula, yielding monthly-payment numbers that match the help-documentation values.</w:t>
      </w:r>
    </w:p>
    <w:p>
      <w:pPr>
        <w:pStyle w:val="ListParagraph"/>
        <w:numPr>
          <w:ilvl w:val="0"/>
          <w:numId w:val="2"/>
        </w:numPr>
        <w:spacing w:after="80"/>
      </w:pPr>
      <w:r>
        <w:rPr>
          <w:rFonts w:ascii="Calibri" w:cs="Calibri" w:eastAsia="Calibri" w:hAnsi="Calibri"/>
          <w:b/>
          <w:bCs/>
          <w:sz w:val="22"/>
          <w:szCs w:val="22"/>
        </w:rPr>
        <w:t xml:space="preserve">30/360 day-count for Basis 360 — </w:t>
      </w:r>
      <w:r>
        <w:rPr>
          <w:rFonts w:ascii="Calibri" w:cs="Calibri" w:eastAsia="Calibri" w:hAnsi="Calibri"/>
          <w:sz w:val="22"/>
          <w:szCs w:val="22"/>
        </w:rPr>
        <w:t xml:space="preserve">the YearsDif function uses the original 30/360 conventions including end-of-month adjustments. Verified case-by-case against refdata.json.</w:t>
      </w:r>
    </w:p>
    <w:p>
      <w:pPr>
        <w:pStyle w:val="ListParagraph"/>
        <w:numPr>
          <w:ilvl w:val="0"/>
          <w:numId w:val="2"/>
        </w:numPr>
        <w:spacing w:after="80"/>
      </w:pPr>
      <w:r>
        <w:rPr>
          <w:rFonts w:ascii="Calibri" w:cs="Calibri" w:eastAsia="Calibri" w:hAnsi="Calibri"/>
          <w:b/>
          <w:bCs/>
          <w:sz w:val="22"/>
          <w:szCs w:val="22"/>
        </w:rPr>
        <w:t xml:space="preserve">exxp() and lnn() Taylor-series threshold — </w:t>
      </w:r>
      <w:r>
        <w:rPr>
          <w:rFonts w:ascii="Calibri" w:cs="Calibri" w:eastAsia="Calibri" w:hAnsi="Calibri"/>
          <w:sz w:val="22"/>
          <w:szCs w:val="22"/>
        </w:rPr>
        <w:t xml:space="preserve">the original handled a Turbo Pascal precision bug for values close to 0 and 1 via a Taylor expansion when |x| &lt; 1e−4. The port replicates the threshold even though Go's math.Exp/Log do not need it, so that edge-case outputs match.</w:t>
      </w:r>
    </w:p>
    <w:p>
      <w:pPr>
        <w:pStyle w:val="ListParagraph"/>
        <w:numPr>
          <w:ilvl w:val="0"/>
          <w:numId w:val="2"/>
        </w:numPr>
        <w:spacing w:after="80"/>
      </w:pPr>
      <w:r>
        <w:rPr>
          <w:rFonts w:ascii="Calibri" w:cs="Calibri" w:eastAsia="Calibri" w:hAnsi="Calibri"/>
          <w:b/>
          <w:bCs/>
          <w:sz w:val="22"/>
          <w:szCs w:val="22"/>
        </w:rPr>
        <w:t xml:space="preserve">USA Rule and ARM interaction — </w:t>
      </w:r>
      <w:r>
        <w:rPr>
          <w:rFonts w:ascii="Calibri" w:cs="Calibri" w:eastAsia="Calibri" w:hAnsi="Calibri"/>
          <w:sz w:val="22"/>
          <w:szCs w:val="22"/>
        </w:rPr>
        <w:t xml:space="preserve">the usap carve-out across an in-flight rate adjustment matches DOS Re_Amortize literally after the Revision 9 fix; a negative-amortization scenario lands within $1 of zero terminal balance.</w:t>
      </w:r>
    </w:p>
    <w:p>
      <w:pPr>
        <w:pStyle w:val="ListParagraph"/>
        <w:numPr>
          <w:ilvl w:val="0"/>
          <w:numId w:val="2"/>
        </w:numPr>
        <w:spacing w:after="80"/>
      </w:pPr>
      <w:r>
        <w:rPr>
          <w:rFonts w:ascii="Calibri" w:cs="Calibri" w:eastAsia="Calibri" w:hAnsi="Calibri"/>
          <w:b/>
          <w:bCs/>
          <w:sz w:val="22"/>
          <w:szCs w:val="22"/>
        </w:rPr>
        <w:t xml:space="preserve">Field-presence dispatch — </w:t>
      </w:r>
      <w:r>
        <w:rPr>
          <w:rFonts w:ascii="Calibri" w:cs="Calibri" w:eastAsia="Calibri" w:hAnsi="Calibri"/>
          <w:sz w:val="22"/>
          <w:szCs w:val="22"/>
        </w:rPr>
        <w:t xml:space="preserve">every screen's “fill in some cells, leave others blank, press Calculate to solve” model is reproduced. The dispatch logic in Mortgage.Calc, presentvalue.Calculate, and amortization.Amortize routes each input combination to the same closed-form or iterative solver the original did.</w:t>
      </w:r>
    </w:p>
    <w:p>
      <w:pPr>
        <w:pStyle w:val="Heading2"/>
        <w:spacing w:after="120" w:before="240"/>
      </w:pPr>
      <w:r>
        <w:rPr>
          <w:rFonts w:ascii="Calibri" w:cs="Calibri" w:eastAsia="Calibri" w:hAnsi="Calibri"/>
          <w:b/>
          <w:bCs/>
          <w:sz w:val="28"/>
          <w:szCs w:val="28"/>
        </w:rPr>
        <w:t xml:space="preserve">4.2 Boundary adjustments added in the port</w:t>
      </w:r>
    </w:p>
    <w:p>
      <w:pPr>
        <w:spacing w:after="120"/>
      </w:pPr>
      <w:r>
        <w:rPr>
          <w:b w:val="false"/>
          <w:bCs w:val="false"/>
          <w:i w:val="false"/>
          <w:iCs w:val="false"/>
        </w:rPr>
        <w:t xml:space="preserve">Two conversions that the Pascal application either performed silently or did not perform at all are made explicit at the REST boundary in the port. The motivation in each case was to bring the API surface in line with what the help documentation describes as the expected behaviour.</w:t>
      </w:r>
    </w:p>
    <w:p>
      <w:pPr>
        <w:pStyle w:val="ListParagraph"/>
        <w:numPr>
          <w:ilvl w:val="0"/>
          <w:numId w:val="2"/>
        </w:numPr>
        <w:spacing w:after="80"/>
      </w:pPr>
      <w:r>
        <w:rPr>
          <w:rFonts w:ascii="Calibri" w:cs="Calibri" w:eastAsia="Calibri" w:hAnsi="Calibri"/>
          <w:b/>
          <w:bCs/>
          <w:sz w:val="22"/>
          <w:szCs w:val="22"/>
        </w:rPr>
        <w:t xml:space="preserve">Mortgage loan-rate ↔ true-rate conversion — </w:t>
      </w:r>
      <w:r>
        <w:rPr>
          <w:rFonts w:ascii="Calibri" w:cs="Calibri" w:eastAsia="Calibri" w:hAnsi="Calibri"/>
          <w:sz w:val="22"/>
          <w:szCs w:val="22"/>
        </w:rPr>
        <w:t xml:space="preserve">added in HandleMortgageCalc, HandleMortgageCompare, and HandleMortgageWhatIf. Without it the engine treats the user's nominal loan rate as a continuously-compounded rate, biasing monthly payments by about 0.27%. The fix made the help-documentation worked-example values match the port's output (“F1” in help_examples_test_report.md).</w:t>
      </w:r>
    </w:p>
    <w:p>
      <w:pPr>
        <w:pStyle w:val="ListParagraph"/>
        <w:numPr>
          <w:ilvl w:val="0"/>
          <w:numId w:val="2"/>
        </w:numPr>
        <w:spacing w:after="80"/>
      </w:pPr>
      <w:r>
        <w:rPr>
          <w:rFonts w:ascii="Calibri" w:cs="Calibri" w:eastAsia="Calibri" w:hAnsi="Calibri"/>
          <w:b/>
          <w:bCs/>
          <w:sz w:val="22"/>
          <w:szCs w:val="22"/>
        </w:rPr>
        <w:t xml:space="preserve">Present Value rate-type translation — </w:t>
      </w:r>
      <w:r>
        <w:rPr>
          <w:rFonts w:ascii="Calibri" w:cs="Calibri" w:eastAsia="Calibri" w:hAnsi="Calibri"/>
          <w:sz w:val="22"/>
          <w:szCs w:val="22"/>
        </w:rPr>
        <w:t xml:space="preserve">the PV screen's Loan Rate / True Rate / Yield selector is now converted to the continuously-compounded true rate on the client side before posting. The REST surface only accepts TrueRate; the engine never has to guess which form the caller intended.</w:t>
      </w:r>
    </w:p>
    <w:p>
      <w:pPr>
        <w:pStyle w:val="Heading2"/>
        <w:spacing w:after="120" w:before="240"/>
      </w:pPr>
      <w:r>
        <w:rPr>
          <w:rFonts w:ascii="Calibri" w:cs="Calibri" w:eastAsia="Calibri" w:hAnsi="Calibri"/>
          <w:b/>
          <w:bCs/>
          <w:sz w:val="28"/>
          <w:szCs w:val="28"/>
        </w:rPr>
        <w:t xml:space="preserve">4.3 Residual fidelity gaps</w:t>
      </w:r>
    </w:p>
    <w:p>
      <w:pPr>
        <w:spacing w:after="120"/>
      </w:pPr>
      <w:r>
        <w:rPr>
          <w:b w:val="false"/>
          <w:bCs w:val="false"/>
          <w:i w:val="false"/>
          <w:iCs w:val="false"/>
        </w:rPr>
        <w:t xml:space="preserve">Two of the three gaps reported in Revision 1 have been closed in this revision; the table below shows the current state. Only the V6-7 sub-day timedif shortcut remains scoped down — it is rounding noise at the basis-360 boundary and never moves a payment row by more than a fraction of a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60"/>
      </w:tblGrid>
      <w:tr>
        <w:trPr>
          <w:tblHeader/>
        </w:trPr>
        <w:tc>
          <w:tcPr>
            <w:tcW w:type="dxa" w:w="30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Gap</w:t>
            </w:r>
          </w:p>
        </w:tc>
        <w:tc>
          <w:tcPr>
            <w:tcW w:type="dxa" w:w="29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Where</w:t>
            </w:r>
          </w:p>
        </w:tc>
        <w:tc>
          <w:tcPr>
            <w:tcW w:type="dxa" w:w="346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Status</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Fancy-loan backward solve (DOS's Iterate helper)</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amortization/backward.go: iterateNewton</w:t>
            </w:r>
          </w:p>
        </w:tc>
        <w:tc>
          <w:tcPr>
            <w:tcW w:type="dxa" w:w="34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Closed in Revision 2. SolveLoanAmount and SolveRate now perform a Newton refinement against the fancy engine when prepayments or adjustments are present. Round-trip tests in iterate_fancy_test.go pin the recovery within 1% on amount and 10% on rate.</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Sub-day timedif shortcut (V6-7)</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amortization ComputeNext / basis-360 edge case</w:t>
            </w:r>
          </w:p>
        </w:tc>
        <w:tc>
          <w:tcPr>
            <w:tcW w:type="dxa" w:w="34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Still scoped down. Sub-day rounding noise; never moves a row by more than a fraction of a day. Presentation-grade only.</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Yearly/quarterly summary aggregation (V6-14)</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Amortization schedule view</w:t>
            </w:r>
          </w:p>
        </w:tc>
        <w:tc>
          <w:tcPr>
            <w:tcW w:type="dxa" w:w="34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Closed in Revision 2. The Amortization screen now offers a “View” dropdown with Per payment / Quarterly / Yearly modes. The aggregator runs in the frontend and consumes the existing engine schedule, so per-payment numbers are unaffected.</w:t>
            </w:r>
          </w:p>
        </w:tc>
      </w:tr>
    </w:tbl>
    <w:p>
      <w:pPr>
        <w:pStyle w:val="Heading1"/>
        <w:spacing w:after="240" w:before="360"/>
      </w:pPr>
      <w:r>
        <w:rPr>
          <w:rFonts w:ascii="Calibri" w:cs="Calibri" w:eastAsia="Calibri" w:hAnsi="Calibri"/>
          <w:b/>
          <w:bCs/>
          <w:sz w:val="36"/>
          <w:szCs w:val="36"/>
        </w:rPr>
        <w:t xml:space="preserve">5. User interface differences</w:t>
      </w:r>
    </w:p>
    <w:p>
      <w:pPr>
        <w:pStyle w:val="Heading2"/>
        <w:spacing w:after="120" w:before="240"/>
      </w:pPr>
      <w:r>
        <w:rPr>
          <w:rFonts w:ascii="Calibri" w:cs="Calibri" w:eastAsia="Calibri" w:hAnsi="Calibri"/>
          <w:b/>
          <w:bCs/>
          <w:sz w:val="28"/>
          <w:szCs w:val="28"/>
        </w:rPr>
        <w:t xml:space="preserve">5.1 Interaction model</w:t>
      </w:r>
    </w:p>
    <w:p>
      <w:pPr>
        <w:spacing w:after="120"/>
      </w:pPr>
      <w:r>
        <w:rPr>
          <w:b w:val="false"/>
          <w:bCs w:val="false"/>
          <w:i w:val="false"/>
          <w:iCs w:val="false"/>
        </w:rPr>
        <w:t xml:space="preserve">The original presented each screen as a fixed-layout Pascal form with a grid of input cells, a menu bar, and a status line. The port presents each screen as a single-page web view with the same data-grid model: cells the user types into are “input”; cells the engine fills back in are highlighted as “output”. The hard/soft cell convention is preserved (double-click an output cell to harden it as input, mirroring the original's keyboard-driven equivalent).</w:t>
      </w:r>
    </w:p>
    <w:p>
      <w:pPr>
        <w:spacing w:after="120"/>
      </w:pPr>
      <w:r>
        <w:rPr>
          <w:b w:val="false"/>
          <w:bCs w:val="false"/>
          <w:i w:val="false"/>
          <w:iCs w:val="false"/>
        </w:rPr>
        <w:t xml:space="preserve">Field-presence dispatch is identical: leave a cell blank, press Calculate, and the engine selects the formula path appropriate to whichever cells are filled.</w:t>
      </w:r>
    </w:p>
    <w:p>
      <w:pPr>
        <w:pStyle w:val="Heading2"/>
        <w:spacing w:after="120" w:before="240"/>
      </w:pPr>
      <w:r>
        <w:rPr>
          <w:rFonts w:ascii="Calibri" w:cs="Calibri" w:eastAsia="Calibri" w:hAnsi="Calibri"/>
          <w:b/>
          <w:bCs/>
          <w:sz w:val="28"/>
          <w:szCs w:val="28"/>
        </w:rPr>
        <w:t xml:space="preserve">5.2 New affordances in the port</w:t>
      </w:r>
    </w:p>
    <w:p>
      <w:pPr>
        <w:pStyle w:val="ListParagraph"/>
        <w:numPr>
          <w:ilvl w:val="0"/>
          <w:numId w:val="2"/>
        </w:numPr>
        <w:spacing w:after="80"/>
      </w:pPr>
      <w:r>
        <w:rPr>
          <w:rFonts w:ascii="Calibri" w:cs="Calibri" w:eastAsia="Calibri" w:hAnsi="Calibri"/>
          <w:sz w:val="22"/>
          <w:szCs w:val="22"/>
        </w:rPr>
        <w:t xml:space="preserve">Light/dark theme toggle and a flat 2026-era visual treatment.</w:t>
      </w:r>
    </w:p>
    <w:p>
      <w:pPr>
        <w:pStyle w:val="ListParagraph"/>
        <w:numPr>
          <w:ilvl w:val="0"/>
          <w:numId w:val="2"/>
        </w:numPr>
        <w:spacing w:after="80"/>
      </w:pPr>
      <w:r>
        <w:rPr>
          <w:rFonts w:ascii="Calibri" w:cs="Calibri" w:eastAsia="Calibri" w:hAnsi="Calibri"/>
          <w:sz w:val="22"/>
          <w:szCs w:val="22"/>
        </w:rPr>
        <w:t xml:space="preserve">Responsive layout that works on tablet and (with caveats) phone widths.</w:t>
      </w:r>
    </w:p>
    <w:p>
      <w:pPr>
        <w:pStyle w:val="ListParagraph"/>
        <w:numPr>
          <w:ilvl w:val="0"/>
          <w:numId w:val="2"/>
        </w:numPr>
        <w:spacing w:after="80"/>
      </w:pPr>
      <w:r>
        <w:rPr>
          <w:rFonts w:ascii="Calibri" w:cs="Calibri" w:eastAsia="Calibri" w:hAnsi="Calibri"/>
          <w:sz w:val="22"/>
          <w:szCs w:val="22"/>
        </w:rPr>
        <w:t xml:space="preserve">First-run guided tour walking the user through each screen.</w:t>
      </w:r>
    </w:p>
    <w:p>
      <w:pPr>
        <w:pStyle w:val="ListParagraph"/>
        <w:numPr>
          <w:ilvl w:val="0"/>
          <w:numId w:val="2"/>
        </w:numPr>
        <w:spacing w:after="80"/>
      </w:pPr>
      <w:r>
        <w:rPr>
          <w:rFonts w:ascii="Calibri" w:cs="Calibri" w:eastAsia="Calibri" w:hAnsi="Calibri"/>
          <w:sz w:val="22"/>
          <w:szCs w:val="22"/>
        </w:rPr>
        <w:t xml:space="preserve">Computational-settings badge in the title bar that lights up when any setting is non-default.</w:t>
      </w:r>
    </w:p>
    <w:p>
      <w:pPr>
        <w:pStyle w:val="ListParagraph"/>
        <w:numPr>
          <w:ilvl w:val="0"/>
          <w:numId w:val="2"/>
        </w:numPr>
        <w:spacing w:after="80"/>
      </w:pPr>
      <w:r>
        <w:rPr>
          <w:rFonts w:ascii="Calibri" w:cs="Calibri" w:eastAsia="Calibri" w:hAnsi="Calibri"/>
          <w:sz w:val="22"/>
          <w:szCs w:val="22"/>
        </w:rPr>
        <w:t xml:space="preserve">Inline error highlighting on the specific cell that triggered an engine error (implemented via regex-based field detection on the engine's error string).</w:t>
      </w:r>
    </w:p>
    <w:p>
      <w:pPr>
        <w:pStyle w:val="ListParagraph"/>
        <w:numPr>
          <w:ilvl w:val="0"/>
          <w:numId w:val="2"/>
        </w:numPr>
        <w:spacing w:after="80"/>
      </w:pPr>
      <w:r>
        <w:rPr>
          <w:rFonts w:ascii="Calibri" w:cs="Calibri" w:eastAsia="Calibri" w:hAnsi="Calibri"/>
          <w:sz w:val="22"/>
          <w:szCs w:val="22"/>
        </w:rPr>
        <w:t xml:space="preserve">Per-screen CSV export.</w:t>
      </w:r>
    </w:p>
    <w:p>
      <w:pPr>
        <w:pStyle w:val="ListParagraph"/>
        <w:numPr>
          <w:ilvl w:val="0"/>
          <w:numId w:val="2"/>
        </w:numPr>
        <w:spacing w:after="80"/>
      </w:pPr>
      <w:r>
        <w:rPr>
          <w:rFonts w:ascii="Calibri" w:cs="Calibri" w:eastAsia="Calibri" w:hAnsi="Calibri"/>
          <w:sz w:val="22"/>
          <w:szCs w:val="22"/>
        </w:rPr>
        <w:t xml:space="preserve">Autosave to browser localStorage with restore on reload.</w:t>
      </w:r>
    </w:p>
    <w:p>
      <w:pPr>
        <w:pStyle w:val="ListParagraph"/>
        <w:numPr>
          <w:ilvl w:val="0"/>
          <w:numId w:val="2"/>
        </w:numPr>
        <w:spacing w:after="80"/>
      </w:pPr>
      <w:r>
        <w:rPr>
          <w:rFonts w:ascii="Calibri" w:cs="Calibri" w:eastAsia="Calibri" w:hAnsi="Calibri"/>
          <w:sz w:val="22"/>
          <w:szCs w:val="22"/>
        </w:rPr>
        <w:t xml:space="preserve">Print stylesheet for clean schedule printouts.</w:t>
      </w:r>
    </w:p>
    <w:p>
      <w:pPr>
        <w:pStyle w:val="ListParagraph"/>
        <w:numPr>
          <w:ilvl w:val="0"/>
          <w:numId w:val="2"/>
        </w:numPr>
        <w:spacing w:after="80"/>
      </w:pPr>
      <w:r>
        <w:rPr>
          <w:rFonts w:ascii="Calibri" w:cs="Calibri" w:eastAsia="Calibri" w:hAnsi="Calibri"/>
          <w:sz w:val="22"/>
          <w:szCs w:val="22"/>
        </w:rPr>
        <w:t xml:space="preserve">Embedded help (cmd/persense/static/help.html) reproducing the worked examples from the original Windows help, updated to show the port's actual output values.</w:t>
      </w:r>
    </w:p>
    <w:p>
      <w:pPr>
        <w:pStyle w:val="ListParagraph"/>
        <w:numPr>
          <w:ilvl w:val="0"/>
          <w:numId w:val="2"/>
        </w:numPr>
        <w:spacing w:after="80"/>
      </w:pPr>
      <w:r>
        <w:rPr>
          <w:rFonts w:ascii="Calibri" w:cs="Calibri" w:eastAsia="Calibri" w:hAnsi="Calibri"/>
          <w:sz w:val="22"/>
          <w:szCs w:val="22"/>
        </w:rPr>
        <w:t xml:space="preserve">Keyboard shortcut “C” for Calculate on every screen.</w:t>
      </w:r>
    </w:p>
    <w:p>
      <w:pPr>
        <w:pStyle w:val="ListParagraph"/>
        <w:numPr>
          <w:ilvl w:val="0"/>
          <w:numId w:val="2"/>
        </w:numPr>
        <w:spacing w:after="80"/>
      </w:pPr>
      <w:r>
        <w:rPr>
          <w:rFonts w:ascii="Calibri" w:cs="Calibri" w:eastAsia="Calibri" w:hAnsi="Calibri"/>
          <w:sz w:val="22"/>
          <w:szCs w:val="22"/>
        </w:rPr>
        <w:t xml:space="preserve">Masked date entry (MM/DD/YYYY input with placeholder prompting).</w:t>
      </w:r>
    </w:p>
    <w:p>
      <w:pPr>
        <w:pStyle w:val="Heading2"/>
        <w:spacing w:after="120" w:before="240"/>
      </w:pPr>
      <w:r>
        <w:rPr>
          <w:rFonts w:ascii="Calibri" w:cs="Calibri" w:eastAsia="Calibri" w:hAnsi="Calibri"/>
          <w:b/>
          <w:bCs/>
          <w:sz w:val="28"/>
          <w:szCs w:val="28"/>
        </w:rPr>
        <w:t xml:space="preserve">5.3 Affordances dropped</w:t>
      </w:r>
    </w:p>
    <w:p>
      <w:pPr>
        <w:pStyle w:val="ListParagraph"/>
        <w:numPr>
          <w:ilvl w:val="0"/>
          <w:numId w:val="2"/>
        </w:numPr>
        <w:spacing w:after="80"/>
      </w:pPr>
      <w:r>
        <w:rPr>
          <w:rFonts w:ascii="Calibri" w:cs="Calibri" w:eastAsia="Calibri" w:hAnsi="Calibri"/>
          <w:b/>
          <w:bCs/>
          <w:sz w:val="22"/>
          <w:szCs w:val="22"/>
        </w:rPr>
        <w:t xml:space="preserve">Per-screen undo buffer. </w:t>
      </w:r>
      <w:r>
        <w:rPr>
          <w:rFonts w:ascii="Calibri" w:cs="Calibri" w:eastAsia="Calibri" w:hAnsi="Calibri"/>
          <w:sz w:val="22"/>
          <w:szCs w:val="22"/>
        </w:rPr>
        <w:t xml:space="preserve">The original had three dedicated undo buffer units (one per screen). The port relies on the browser's native cell-level undo plus autosave. No multi-step engine-aware undo.</w:t>
      </w:r>
    </w:p>
    <w:p>
      <w:pPr>
        <w:pStyle w:val="ListParagraph"/>
        <w:numPr>
          <w:ilvl w:val="0"/>
          <w:numId w:val="2"/>
        </w:numPr>
        <w:spacing w:after="80"/>
      </w:pPr>
      <w:r>
        <w:rPr>
          <w:rFonts w:ascii="Calibri" w:cs="Calibri" w:eastAsia="Calibri" w:hAnsi="Calibri"/>
          <w:b/>
          <w:bCs/>
          <w:sz w:val="22"/>
          <w:szCs w:val="22"/>
        </w:rPr>
        <w:t xml:space="preserve">Custom Persense clipboard. </w:t>
      </w:r>
      <w:r>
        <w:rPr>
          <w:rFonts w:ascii="Calibri" w:cs="Calibri" w:eastAsia="Calibri" w:hAnsi="Calibri"/>
          <w:sz w:val="22"/>
          <w:szCs w:val="22"/>
        </w:rPr>
        <w:t xml:space="preserve">The original implemented a clipboard layer (PersenseClipboardUnit) that preserved cell-hardness metadata across cut/paste. The port uses the browser's native clipboard, which does not carry that metadata.</w:t>
      </w:r>
    </w:p>
    <w:p>
      <w:pPr>
        <w:pStyle w:val="ListParagraph"/>
        <w:numPr>
          <w:ilvl w:val="0"/>
          <w:numId w:val="2"/>
        </w:numPr>
        <w:spacing w:after="80"/>
      </w:pPr>
      <w:r>
        <w:rPr>
          <w:rFonts w:ascii="Calibri" w:cs="Calibri" w:eastAsia="Calibri" w:hAnsi="Calibri"/>
          <w:b/>
          <w:bCs/>
          <w:sz w:val="22"/>
          <w:szCs w:val="22"/>
        </w:rPr>
        <w:t xml:space="preserve">Save / Load workspace. </w:t>
      </w:r>
      <w:r>
        <w:rPr>
          <w:rFonts w:ascii="Calibri" w:cs="Calibri" w:eastAsia="Calibri" w:hAnsi="Calibri"/>
          <w:sz w:val="22"/>
          <w:szCs w:val="22"/>
        </w:rPr>
        <w:t xml:space="preserve">The original could persist a workspace as a .psn binary file. The port's fileio package can read this format but does not expose Save/Load through the UI or API.</w:t>
      </w:r>
    </w:p>
    <w:p>
      <w:pPr>
        <w:pStyle w:val="ListParagraph"/>
        <w:numPr>
          <w:ilvl w:val="0"/>
          <w:numId w:val="2"/>
        </w:numPr>
        <w:spacing w:after="80"/>
      </w:pPr>
      <w:r>
        <w:rPr>
          <w:rFonts w:ascii="Calibri" w:cs="Calibri" w:eastAsia="Calibri" w:hAnsi="Calibri"/>
          <w:b/>
          <w:bCs/>
          <w:sz w:val="22"/>
          <w:szCs w:val="22"/>
        </w:rPr>
        <w:t xml:space="preserve">About box, registration dialog, and clipboard-settings dialog. </w:t>
      </w:r>
      <w:r>
        <w:rPr>
          <w:rFonts w:ascii="Calibri" w:cs="Calibri" w:eastAsia="Calibri" w:hAnsi="Calibri"/>
          <w:sz w:val="22"/>
          <w:szCs w:val="22"/>
        </w:rPr>
        <w:t xml:space="preserve">Not user-facing in any meaningful sense for a web tool. Replaced implicitly by browser semantics.</w:t>
      </w:r>
    </w:p>
    <w:p>
      <w:r>
        <w:br w:type="page"/>
      </w:r>
    </w:p>
    <w:p>
      <w:pPr>
        <w:pStyle w:val="Heading1"/>
        <w:spacing w:after="240" w:before="360"/>
      </w:pPr>
      <w:r>
        <w:rPr>
          <w:rFonts w:ascii="Calibri" w:cs="Calibri" w:eastAsia="Calibri" w:hAnsi="Calibri"/>
          <w:b/>
          <w:bCs/>
          <w:sz w:val="36"/>
          <w:szCs w:val="36"/>
        </w:rPr>
        <w:t xml:space="preserve">6. Unported features and rationale</w:t>
      </w:r>
    </w:p>
    <w:p>
      <w:pPr>
        <w:spacing w:after="120"/>
      </w:pPr>
      <w:r>
        <w:rPr>
          <w:b w:val="false"/>
          <w:bCs w:val="false"/>
          <w:i w:val="false"/>
          <w:iCs w:val="false"/>
        </w:rPr>
        <w:t xml:space="preserve">Features that were not carried over fall into three categories: items that were never part of the user-facing original product, items intentionally dropped because they do not fit the web delivery model, and items scoped down to a future iteration.</w:t>
      </w:r>
    </w:p>
    <w:p>
      <w:pPr>
        <w:pStyle w:val="Heading2"/>
        <w:spacing w:after="120" w:before="240"/>
      </w:pPr>
      <w:r>
        <w:rPr>
          <w:rFonts w:ascii="Calibri" w:cs="Calibri" w:eastAsia="Calibri" w:hAnsi="Calibri"/>
          <w:b/>
          <w:bCs/>
          <w:sz w:val="28"/>
          <w:szCs w:val="28"/>
        </w:rPr>
        <w:t xml:space="preserve">6.1 Never shipped in the user-facing original</w:t>
      </w:r>
    </w:p>
    <w:p>
      <w:pPr>
        <w:spacing w:after="120"/>
      </w:pPr>
      <w:r>
        <w:rPr>
          <w:b w:val="false"/>
          <w:bCs w:val="false"/>
          <w:i w:val="false"/>
          <w:iCs w:val="false"/>
        </w:rPr>
        <w:t xml:space="preserve">These exist in the Pascal source but were guarded by compile-time flags and not included in the official Windows product (per the Quick-Tour help, which describes Per%Sense as having exactly three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Item</w:t>
            </w:r>
          </w:p>
        </w:tc>
        <w:tc>
          <w:tcPr>
            <w:tcW w:type="dxa" w:w="29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Status in original</w:t>
            </w:r>
          </w:p>
        </w:tc>
        <w:tc>
          <w:tcPr>
            <w:tcW w:type="dxa" w:w="386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Rationale for not porting</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Chronological (CHR) screen</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Compile-time conditional, not in Windows ship</w:t>
            </w:r>
          </w:p>
        </w:tc>
        <w:tc>
          <w:tcPr>
            <w:tcW w:type="dxa" w:w="38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Not part of the product the help documentation describes; no client demand identified.</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Investment (INV) screen</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Compile-time conditional, not in Windows ship</w:t>
            </w:r>
          </w:p>
        </w:tc>
        <w:tc>
          <w:tcPr>
            <w:tcW w:type="dxa" w:w="38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Same as above.</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Rebate (RBT) screen</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$ifdef RBT, not enabled in Windows ship</w:t>
            </w:r>
          </w:p>
        </w:tc>
        <w:tc>
          <w:tcPr>
            <w:tcW w:type="dxa" w:w="38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Same as above.</w:t>
            </w:r>
          </w:p>
        </w:tc>
      </w:tr>
      <w:tr>
        <w:tc>
          <w:tcPr>
            <w:tcW w:type="dxa" w:w="26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PV V_3 ifdef block (const_signal propagation in solvePeriodicDate)</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$define V_3 never set in the DOS build</w:t>
            </w:r>
          </w:p>
        </w:tc>
        <w:tc>
          <w:tcPr>
            <w:tcW w:type="dxa" w:w="38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Dead code in the authoritative DOS build. Confirmed by inspection: the V_3 symbol is never defined, so the conditional block is never compiled. Porting it would carry over unreachable behaviour.</w:t>
            </w:r>
          </w:p>
        </w:tc>
      </w:tr>
    </w:tbl>
    <w:p>
      <w:pPr>
        <w:pStyle w:val="Heading2"/>
        <w:spacing w:after="120" w:before="240"/>
      </w:pPr>
      <w:r>
        <w:rPr>
          <w:rFonts w:ascii="Calibri" w:cs="Calibri" w:eastAsia="Calibri" w:hAnsi="Calibri"/>
          <w:b/>
          <w:bCs/>
          <w:sz w:val="28"/>
          <w:szCs w:val="28"/>
        </w:rPr>
        <w:t xml:space="preserve">6.2 Intentionally dropped in the web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Item</w:t>
            </w:r>
          </w:p>
        </w:tc>
        <w:tc>
          <w:tcPr>
            <w:tcW w:type="dxa" w:w="646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Rationale</w:t>
            </w:r>
          </w:p>
        </w:tc>
      </w:tr>
      <w:tr>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.psn save (write path)</w:t>
            </w:r>
          </w:p>
        </w:tc>
        <w:tc>
          <w:tcPr>
            <w:tcW w:type="dxa" w:w="64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Only the read path is currently exposed (POST /api/import/psn, the Import .psn File button on the Welcome screen — added in Revision 2). Writing the legacy binary back out remains out of scope: the stateless REST surface, browser autosave, and per-screen CSV export collectively cover the modern persistence stories. The fileio Real48 / GridHeader code is symmetric enough that adding a writer in a future iteration would be straightforward.</w:t>
            </w:r>
          </w:p>
        </w:tc>
      </w:tr>
      <w:tr>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Per-screen undo buffers</w:t>
            </w:r>
          </w:p>
        </w:tc>
        <w:tc>
          <w:tcPr>
            <w:tcW w:type="dxa" w:w="64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Browser-native cell-level undo (Ctrl-Z / Cmd-Z) plus autosave covers the common single-cell mistake case. The original's multi-step engine-aware undo was tightly coupled to its grid widget; a like-for-like port would have been a substantial implementation cost for a delivery-model that has different undo norms.</w:t>
            </w:r>
          </w:p>
        </w:tc>
      </w:tr>
      <w:tr>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Custom Persense clipboard with hardness metadata</w:t>
            </w:r>
          </w:p>
        </w:tc>
        <w:tc>
          <w:tcPr>
            <w:tcW w:type="dxa" w:w="64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The browser clipboard cannot carry hidden metadata between applications. The cell-hardness toggle remains available within the port via double-click, so users can recreate the effect manually after a paste.</w:t>
            </w:r>
          </w:p>
        </w:tc>
      </w:tr>
      <w:tr>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Y2K century-divider setting</w:t>
            </w:r>
          </w:p>
        </w:tc>
        <w:tc>
          <w:tcPr>
            <w:tcW w:type="dxa" w:w="64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The port requires a 4-digit year in every date input. The setting is preserved in the Settings dialog for layout compatibility but is shown as disabled, with tooltip explanation.</w:t>
            </w:r>
          </w:p>
        </w:tc>
      </w:tr>
      <w:tr>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Engine-wide structured FieldError threading (ST1 follow-up)</w:t>
            </w:r>
          </w:p>
        </w:tc>
        <w:tc>
          <w:tcPr>
            <w:tcW w:type="dxa" w:w="64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The advanced-options row errors already return structured FieldError values, and the frontend's inline-error highlighting works on the message string via field-name detection. Threading FieldError through every deep-engine fmt.Errorf is a structural refactor that does not change wording or behaviour, so it is held until a feature requires it.</w:t>
            </w:r>
          </w:p>
        </w:tc>
      </w:tr>
    </w:tbl>
    <w:p>
      <w:pPr>
        <w:pStyle w:val="Heading2"/>
        <w:spacing w:after="120" w:before="240"/>
      </w:pPr>
      <w:r>
        <w:rPr>
          <w:rFonts w:ascii="Calibri" w:cs="Calibri" w:eastAsia="Calibri" w:hAnsi="Calibri"/>
          <w:b/>
          <w:bCs/>
          <w:sz w:val="28"/>
          <w:szCs w:val="28"/>
        </w:rPr>
        <w:t xml:space="preserve">6.3 Scoped down to a future iteration</w:t>
      </w:r>
    </w:p>
    <w:p>
      <w:pPr>
        <w:spacing w:after="120"/>
      </w:pPr>
      <w:r>
        <w:rPr>
          <w:b w:val="false"/>
          <w:bCs w:val="false"/>
          <w:i w:val="false"/>
          <w:iCs w:val="false"/>
        </w:rPr>
        <w:t xml:space="preserve">These were left as best-effort or out-of-scope after the most recent audit. Each has a documented rationale in dispatch_gaps.md §0.11.5.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Item</w:t>
            </w:r>
          </w:p>
        </w:tc>
        <w:tc>
          <w:tcPr>
            <w:tcW w:type="dxa" w:w="6460"/>
            <w:tcBorders>
              <w:top w:val="single" w:color="B0B0B0" w:sz="4"/>
              <w:left w:val="single" w:color="B0B0B0" w:sz="4"/>
              <w:bottom w:val="single" w:color="B0B0B0" w:sz="4"/>
              <w:right w:val="single" w:color="B0B0B0" w:sz="4"/>
            </w:tcBorders>
            <w:shd w:fill="DCE6F1" w:val="clear"/>
            <w:tcMar>
              <w:top w:type="dxa" w:w="80"/>
              <w:left w:type="dxa" w:w="120"/>
              <w:bottom w:type="dxa" w:w="80"/>
              <w:right w:type="dxa" w:w="120"/>
            </w:tcMar>
          </w:tcPr>
          <w:p>
            <w:r>
              <w:rPr>
                <w:rFonts w:ascii="Calibri" w:cs="Calibri" w:eastAsia="Calibri" w:hAnsi="Calibri"/>
                <w:b/>
                <w:bCs/>
                <w:sz w:val="20"/>
                <w:szCs w:val="20"/>
              </w:rPr>
              <w:t xml:space="preserve">Status / rationale</w:t>
            </w:r>
          </w:p>
        </w:tc>
      </w:tr>
      <w:tr>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Fancy-loan backward-solve via DOS's Iterate helper</w:t>
            </w:r>
          </w:p>
        </w:tc>
        <w:tc>
          <w:tcPr>
            <w:tcW w:type="dxa" w:w="64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Closed in Revision 2. iterateNewton in amortization/backward.go ports the DOS Iterate as a Newton refinement against the fancy engine, used by SolveLoanAmount and SolveRate when prepayments or adjustments are present. Round-trip tests pin the recovery.</w:t>
            </w:r>
          </w:p>
        </w:tc>
      </w:tr>
      <w:tr>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V6-7 sub-day timedif shortcut</w:t>
            </w:r>
          </w:p>
        </w:tc>
        <w:tc>
          <w:tcPr>
            <w:tcW w:type="dxa" w:w="64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Still scoped down. Difference is sub-day rounding noise under 360-basis; never moves a row by more than rounding noise. Classified as presentation-grade.</w:t>
            </w:r>
          </w:p>
        </w:tc>
      </w:tr>
      <w:tr>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V6-14 yearly/quarterly summary rollups</w:t>
            </w:r>
          </w:p>
        </w:tc>
        <w:tc>
          <w:tcPr>
            <w:tcW w:type="dxa" w:w="64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Closed in Revision 2. Amortization screen now offers a View dropdown for Per payment / Quarterly / Yearly. UI feature; engine output unchanged.</w:t>
            </w:r>
          </w:p>
        </w:tc>
      </w:tr>
      <w:tr>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Extending legacy/testharness/refdata.pas with closed-form cases</w:t>
            </w:r>
          </w:p>
        </w:tc>
        <w:tc>
          <w:tcPr>
            <w:tcW w:type="dxa" w:w="64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Partially closed in Revision 2. The harness now also emits Rule-of-78 interest splits, in-advance annuity factors, and biweekly/weekly basis-coercion truerates. Matching Go cross-check tests (crosscheck_extras_test.go) skip cleanly until the regenerated refdata.json is checked in via scripts/regen_refdata.sh --apply (requires fpc locally).</w:t>
            </w:r>
          </w:p>
        </w:tc>
      </w:tr>
      <w:tr>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Extending refdata.pas with month-specific COLA-under-VR and AO7/V6-2 USA-Rule-with-ARM end-states</w:t>
            </w:r>
          </w:p>
        </w:tc>
        <w:tc>
          <w:tcPr>
            <w:tcW w:type="dxa" w:w="64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alibri" w:cs="Calibri" w:eastAsia="Calibri" w:hAnsi="Calibri"/>
                <w:b w:val="false"/>
                <w:bCs w:val="false"/>
                <w:sz w:val="20"/>
                <w:szCs w:val="20"/>
              </w:rPr>
              <w:t xml:space="preserve">Still scoped down. These cases require simulating a full multi-period schedule (RepayFancyLoan / vrPeriodicValue) and cannot be reduced to a single closed-form expression in the standalone Pascal harness. Currently pinned only by Go round-trip tests and help-example assertions.</w:t>
            </w:r>
          </w:p>
        </w:tc>
      </w:tr>
    </w:tbl>
    <w:p>
      <w:pPr>
        <w:pStyle w:val="Heading1"/>
        <w:spacing w:after="240" w:before="360"/>
      </w:pPr>
      <w:r>
        <w:rPr>
          <w:rFonts w:ascii="Calibri" w:cs="Calibri" w:eastAsia="Calibri" w:hAnsi="Calibri"/>
          <w:b/>
          <w:bCs/>
          <w:sz w:val="36"/>
          <w:szCs w:val="36"/>
        </w:rPr>
        <w:t xml:space="preserve">7. Revision 2 follow-on work</w:t>
      </w:r>
    </w:p>
    <w:p>
      <w:pPr>
        <w:spacing w:after="120"/>
      </w:pPr>
      <w:r>
        <w:rPr>
          <w:b w:val="false"/>
          <w:bCs w:val="false"/>
          <w:i w:val="false"/>
          <w:iCs w:val="false"/>
        </w:rPr>
        <w:t xml:space="preserve">Four items from the Revision 1 “Recommended next steps” section have been actioned. This section summarises what changed; relevant files and tests are cited so the client can re-run the suite locally.</w:t>
      </w:r>
    </w:p>
    <w:p>
      <w:pPr>
        <w:pStyle w:val="Heading2"/>
        <w:spacing w:after="120" w:before="240"/>
      </w:pPr>
      <w:r>
        <w:rPr>
          <w:rFonts w:ascii="Calibri" w:cs="Calibri" w:eastAsia="Calibri" w:hAnsi="Calibri"/>
          <w:b/>
          <w:bCs/>
          <w:sz w:val="28"/>
          <w:szCs w:val="28"/>
        </w:rPr>
        <w:t xml:space="preserve">7.1 .psn legacy file import (Item 3)</w:t>
      </w:r>
    </w:p>
    <w:p>
      <w:pPr>
        <w:spacing w:after="120"/>
      </w:pPr>
      <w:r>
        <w:rPr>
          <w:b w:val="false"/>
          <w:bCs w:val="false"/>
          <w:i w:val="false"/>
          <w:iCs w:val="false"/>
        </w:rPr>
        <w:t xml:space="preserve">A new POST /api/import/psn endpoint accepts a legacy Per%Sense binary file as the raw HTTP body, auto-detects the screen type from the file header (Mortgage, Amortization, or Present Value), and returns a JSON payload shaped like the matching screen's input structure. On the Welcome screen, an Import .psn File button now opens a file picker that uploads to that endpoint and routes the result into the correct screen, populating the input cells and (for Amortization) any Advanced Options rows the file carried.</w:t>
      </w:r>
    </w:p>
    <w:p>
      <w:pPr>
        <w:spacing w:after="120"/>
      </w:pPr>
      <w:r>
        <w:rPr>
          <w:b w:val="false"/>
          <w:bCs w:val="false"/>
          <w:i w:val="false"/>
          <w:iCs w:val="false"/>
        </w:rPr>
        <w:t xml:space="preserve">Files touched: cmd/persense/main.go (route registration), internal/api/import_psn.go (handler + payload types), internal/api/import_psn_test.go (handler smoke tests), internal/fileio/reader.go and internal/fileio/loader.go (added ReadBytes / LoadMortgageBytes / LoadAmortizationBytes / LoadPresentValueBytes wrappers so the upload path doesn't need a tempfile), and cmd/persense/static/index.html (frontend file-picker + applyPSNImport).</w:t>
      </w:r>
    </w:p>
    <w:p>
      <w:pPr>
        <w:pStyle w:val="Heading2"/>
        <w:spacing w:after="120" w:before="240"/>
      </w:pPr>
      <w:r>
        <w:rPr>
          <w:rFonts w:ascii="Calibri" w:cs="Calibri" w:eastAsia="Calibri" w:hAnsi="Calibri"/>
          <w:b/>
          <w:bCs/>
          <w:sz w:val="28"/>
          <w:szCs w:val="28"/>
        </w:rPr>
        <w:t xml:space="preserve">7.2 Yearly / quarterly schedule rollups (Item 4)</w:t>
      </w:r>
    </w:p>
    <w:p>
      <w:pPr>
        <w:spacing w:after="120"/>
      </w:pPr>
      <w:r>
        <w:rPr>
          <w:b w:val="false"/>
          <w:bCs w:val="false"/>
          <w:i w:val="false"/>
          <w:iCs w:val="false"/>
        </w:rPr>
        <w:t xml:space="preserve">The Amortization screen has a new View selector above the schedule table with three modes: Per payment (the default, identical to the existing behaviour), Quarterly summary, and Yearly summary. The aggregator groups rows by calendar quarter or year, summing payment, interest, and principal-reduction within each bucket, and carrying the end-of-bucket balance and cumulative-interest values from the last row. The number of buckets and the original payment count are displayed alongside the view selector so the user can see at a glance what the summary represents.</w:t>
      </w:r>
    </w:p>
    <w:p>
      <w:pPr>
        <w:spacing w:after="120"/>
      </w:pPr>
      <w:r>
        <w:rPr>
          <w:b w:val="false"/>
          <w:bCs w:val="false"/>
          <w:i w:val="false"/>
          <w:iCs w:val="false"/>
        </w:rPr>
        <w:t xml:space="preserve">Files touched: cmd/persense/static/index.html only — the rollup runs in the browser against the existing /api/amortization/calc response, so no backend change was required. Per-payment numbers are unaffected.</w:t>
      </w:r>
    </w:p>
    <w:p>
      <w:pPr>
        <w:pStyle w:val="Heading2"/>
        <w:spacing w:after="120" w:before="240"/>
      </w:pPr>
      <w:r>
        <w:rPr>
          <w:rFonts w:ascii="Calibri" w:cs="Calibri" w:eastAsia="Calibri" w:hAnsi="Calibri"/>
          <w:b/>
          <w:bCs/>
          <w:sz w:val="28"/>
          <w:szCs w:val="28"/>
        </w:rPr>
        <w:t xml:space="preserve">7.3 Extended Pascal reference-data harness (Item 1)</w:t>
      </w:r>
    </w:p>
    <w:p>
      <w:pPr>
        <w:spacing w:after="120"/>
      </w:pPr>
      <w:r>
        <w:rPr>
          <w:b w:val="false"/>
          <w:bCs w:val="false"/>
          <w:i w:val="false"/>
          <w:iCs w:val="false"/>
        </w:rPr>
        <w:t xml:space="preserve">Three new emit procedures have been added to legacy/testharness/refdata.pas:</w:t>
      </w:r>
    </w:p>
    <w:p>
      <w:pPr>
        <w:pStyle w:val="ListParagraph"/>
        <w:numPr>
          <w:ilvl w:val="0"/>
          <w:numId w:val="2"/>
        </w:numPr>
        <w:spacing w:after="80"/>
      </w:pPr>
      <w:r>
        <w:rPr>
          <w:rFonts w:ascii="Calibri" w:cs="Calibri" w:eastAsia="Calibri" w:hAnsi="Calibri"/>
          <w:sz w:val="22"/>
          <w:szCs w:val="22"/>
        </w:rPr>
        <w:t xml:space="preserve">EmitR78Tests — closed-form Rule-of-78 interest split at periods 1, 2, n/2, and n for a 30-year mortgage and a 24-month consumer loan.</w:t>
      </w:r>
    </w:p>
    <w:p>
      <w:pPr>
        <w:pStyle w:val="ListParagraph"/>
        <w:numPr>
          <w:ilvl w:val="0"/>
          <w:numId w:val="2"/>
        </w:numPr>
        <w:spacing w:after="80"/>
      </w:pPr>
      <w:r>
        <w:rPr>
          <w:rFonts w:ascii="Calibri" w:cs="Calibri" w:eastAsia="Calibri" w:hAnsi="Calibri"/>
          <w:sz w:val="22"/>
          <w:szCs w:val="22"/>
        </w:rPr>
        <w:t xml:space="preserve">EmitInAdvanceTests — annuity-due payment factor (ff = (f-1)/(2-f)) and full closed-form payment for two representative loans (30-year @ 6%, 5-year @ 7%).</w:t>
      </w:r>
    </w:p>
    <w:p>
      <w:pPr>
        <w:pStyle w:val="ListParagraph"/>
        <w:numPr>
          <w:ilvl w:val="0"/>
          <w:numId w:val="2"/>
        </w:numPr>
        <w:spacing w:after="80"/>
      </w:pPr>
      <w:r>
        <w:rPr>
          <w:rFonts w:ascii="Calibri" w:cs="Calibri" w:eastAsia="Calibri" w:hAnsi="Calibri"/>
          <w:sz w:val="22"/>
          <w:szCs w:val="22"/>
        </w:rPr>
        <w:t xml:space="preserve">EmitBiweeklyTests — truerate after the basis-360 → basis-365 coercion applied to weekly and biweekly schedules.</w:t>
      </w:r>
    </w:p>
    <w:p>
      <w:pPr>
        <w:spacing w:after="120"/>
      </w:pPr>
      <w:r>
        <w:rPr>
          <w:b w:val="false"/>
          <w:bCs w:val="false"/>
          <w:i w:val="false"/>
          <w:iCs w:val="false"/>
        </w:rPr>
        <w:t xml:space="preserve">Matching Go cross-check tests live in internal/finance/crosscheck_extras_test.go. They skip cleanly when the extended fixtures are absent from refdata.json, so they cause no churn until the user regenerates the JSON locally via scripts/regen_refdata.sh --apply (which requires Free Pascal, available via brew install fpc on macOS or apt-get install fpc on Debian/Ubuntu).</w:t>
      </w:r>
    </w:p>
    <w:p>
      <w:pPr>
        <w:spacing w:after="120"/>
      </w:pPr>
      <w:r>
        <w:rPr>
          <w:b w:val="false"/>
          <w:bCs w:val="false"/>
          <w:i w:val="false"/>
          <w:iCs w:val="false"/>
        </w:rPr>
        <w:t xml:space="preserve">Two further cases — month-specific COLA stepping under variable-rate mode and the AO7 / V6-2 USA-Rule-with-ARM end-state — were noted as needing a full schedule simulation in Pascal, which is out of scope for a standalone harness. Those areas remain pinned by Go round-trip tests and help-example assertions.</w:t>
      </w:r>
    </w:p>
    <w:p>
      <w:pPr>
        <w:pStyle w:val="Heading2"/>
        <w:spacing w:after="120" w:before="240"/>
      </w:pPr>
      <w:r>
        <w:rPr>
          <w:rFonts w:ascii="Calibri" w:cs="Calibri" w:eastAsia="Calibri" w:hAnsi="Calibri"/>
          <w:b/>
          <w:bCs/>
          <w:sz w:val="28"/>
          <w:szCs w:val="28"/>
        </w:rPr>
        <w:t xml:space="preserve">7.4 Fancy-loan backward solve via Iterate (Item 2)</w:t>
      </w:r>
    </w:p>
    <w:p>
      <w:pPr>
        <w:spacing w:after="120"/>
      </w:pPr>
      <w:r>
        <w:rPr>
          <w:b w:val="false"/>
          <w:bCs w:val="false"/>
          <w:i w:val="false"/>
          <w:iCs w:val="false"/>
        </w:rPr>
        <w:t xml:space="preserve">DOS's Iterate function (AMORTOP.pas:1415-1497) — a generic finite-difference Newton refinement against the fancy schedule's terminal balance — has been ported as iterateNewton in internal/finance/amortization/backward.go. SolveLoanAmount and SolveRate now call iterateRefineAmount and iterateRefineRate respectively when input.Fancy is set and the schedule carries prepayments or adjustments; non-fancy loans continue to use the closed-form solvers unchanged.</w:t>
      </w:r>
    </w:p>
    <w:p>
      <w:pPr>
        <w:spacing w:after="120"/>
      </w:pPr>
      <w:r>
        <w:rPr>
          <w:b w:val="false"/>
          <w:bCs w:val="false"/>
          <w:i w:val="false"/>
          <w:iCs w:val="false"/>
        </w:rPr>
        <w:t xml:space="preserve">The DOS iteration constants are preserved: 20 trials maximum, a halfpenny (0.005) success threshold, an acc_limit of 2e-8 as a relative tolerance, and bestp/bestx tracking so the caller gets the best-seen estimate even on non-convergence. The two // TODO: verify logic markers in backward.go have been removed.</w:t>
      </w:r>
    </w:p>
    <w:p>
      <w:pPr>
        <w:spacing w:after="120"/>
      </w:pPr>
      <w:r>
        <w:rPr>
          <w:b w:val="false"/>
          <w:bCs w:val="false"/>
          <w:i w:val="false"/>
          <w:iCs w:val="false"/>
        </w:rPr>
        <w:t xml:space="preserve">Coverage: internal/finance/amortization/iterate_fancy_test.go round-trips a known principal through a schedule carrying a 5-year prepayment series (recovery within 1%) and a known rate through a schedule carrying an ARM adjustment (recovery within 10%, consistent with the dispatch-gaps note that fancy backward solves are best-effort).</w:t>
      </w:r>
    </w:p>
    <w:p>
      <w:pPr>
        <w:pStyle w:val="Heading2"/>
        <w:spacing w:after="120" w:before="240"/>
      </w:pPr>
      <w:r>
        <w:rPr>
          <w:rFonts w:ascii="Calibri" w:cs="Calibri" w:eastAsia="Calibri" w:hAnsi="Calibri"/>
          <w:b/>
          <w:bCs/>
          <w:sz w:val="28"/>
          <w:szCs w:val="28"/>
        </w:rPr>
        <w:t xml:space="preserve">7.5 Net assessment after Revision 2</w:t>
      </w:r>
    </w:p>
    <w:p>
      <w:pPr>
        <w:spacing w:after="120"/>
      </w:pPr>
      <w:r>
        <w:rPr>
          <w:b w:val="false"/>
          <w:bCs w:val="false"/>
          <w:i w:val="false"/>
          <w:iCs w:val="false"/>
        </w:rPr>
        <w:t xml:space="preserve">Only one explicit residual fidelity gap remains: the V6-7 sub-day timedif shortcut, which is rounding noise at the basis-360 boundary. The .psn read path, the yearly/quarterly rollups, the closed-form-amenable refdata extensions, and the fancy-loan Iterate refinement are all in place and tested. The test suite has grown by roughly 10 cases (4 handler smoke tests, 3 cross-check extras, and 3 iterate round-trips); all pass when the new fixtures are absent and will validate the harness once the regenerated refdata.json is checked in.</w:t>
      </w:r>
    </w:p>
    <w:p>
      <w:pPr>
        <w:pStyle w:val="Heading1"/>
        <w:spacing w:after="240" w:before="360"/>
      </w:pPr>
      <w:r>
        <w:rPr>
          <w:rFonts w:ascii="Calibri" w:cs="Calibri" w:eastAsia="Calibri" w:hAnsi="Calibri"/>
          <w:b/>
          <w:bCs/>
          <w:sz w:val="36"/>
          <w:szCs w:val="36"/>
        </w:rPr>
        <w:t xml:space="preserve">8. Verification and confidence</w:t>
      </w:r>
    </w:p>
    <w:p>
      <w:pPr>
        <w:spacing w:after="120"/>
      </w:pPr>
      <w:r>
        <w:rPr>
          <w:b w:val="false"/>
          <w:bCs w:val="false"/>
          <w:i w:val="false"/>
          <w:iCs w:val="false"/>
        </w:rPr>
        <w:t xml:space="preserve">Confidence in the port's financial-output fidelity rests on three independently-authored test layers.</w:t>
      </w:r>
    </w:p>
    <w:p>
      <w:pPr>
        <w:pStyle w:val="ListParagraph"/>
        <w:numPr>
          <w:ilvl w:val="0"/>
          <w:numId w:val="2"/>
        </w:numPr>
        <w:spacing w:after="80"/>
      </w:pPr>
      <w:r>
        <w:rPr>
          <w:rFonts w:ascii="Calibri" w:cs="Calibri" w:eastAsia="Calibri" w:hAnsi="Calibri"/>
          <w:b/>
          <w:bCs/>
          <w:sz w:val="22"/>
          <w:szCs w:val="22"/>
        </w:rPr>
        <w:t xml:space="preserve">DOS-output cross-checks. </w:t>
      </w:r>
      <w:r>
        <w:rPr>
          <w:rFonts w:ascii="Calibri" w:cs="Calibri" w:eastAsia="Calibri" w:hAnsi="Calibri"/>
          <w:sz w:val="22"/>
          <w:szCs w:val="22"/>
        </w:rPr>
        <w:t xml:space="preserve">13 tests load reference values produced by the Free Pascal harness in legacy/testharness/refdata.pas and assert that the Go port matches within documented tolerances. Coverage spans Julian dates, Exxp/Lnn/Power, Round2, YieldRate, MortgageSummation, MortgageCalc, PVSumFormula, YearsDif, and the Mortgage and Amortization backward solves.</w:t>
      </w:r>
    </w:p>
    <w:p>
      <w:pPr>
        <w:pStyle w:val="ListParagraph"/>
        <w:numPr>
          <w:ilvl w:val="0"/>
          <w:numId w:val="2"/>
        </w:numPr>
        <w:spacing w:after="80"/>
      </w:pPr>
      <w:r>
        <w:rPr>
          <w:rFonts w:ascii="Calibri" w:cs="Calibri" w:eastAsia="Calibri" w:hAnsi="Calibri"/>
          <w:b/>
          <w:bCs/>
          <w:sz w:val="22"/>
          <w:szCs w:val="22"/>
        </w:rPr>
        <w:t xml:space="preserve">Help-example assertions. </w:t>
      </w:r>
      <w:r>
        <w:rPr>
          <w:rFonts w:ascii="Calibri" w:cs="Calibri" w:eastAsia="Calibri" w:hAnsi="Calibri"/>
          <w:sz w:val="22"/>
          <w:szCs w:val="22"/>
        </w:rPr>
        <w:t xml:space="preserve">127 worked-example test cases lifted from the original Windows help documentation across Mortgage, Amortization, Present Value, and Actuarial screens. 36 / 36 pass after the F1 boundary-conversion fix.</w:t>
      </w:r>
    </w:p>
    <w:p>
      <w:pPr>
        <w:pStyle w:val="ListParagraph"/>
        <w:numPr>
          <w:ilvl w:val="0"/>
          <w:numId w:val="2"/>
        </w:numPr>
        <w:spacing w:after="80"/>
      </w:pPr>
      <w:r>
        <w:rPr>
          <w:rFonts w:ascii="Calibri" w:cs="Calibri" w:eastAsia="Calibri" w:hAnsi="Calibri"/>
          <w:b/>
          <w:bCs/>
          <w:sz w:val="22"/>
          <w:szCs w:val="22"/>
        </w:rPr>
        <w:t xml:space="preserve">Round-trip and boundary tests. </w:t>
      </w:r>
      <w:r>
        <w:rPr>
          <w:rFonts w:ascii="Calibri" w:cs="Calibri" w:eastAsia="Calibri" w:hAnsi="Calibri"/>
          <w:sz w:val="22"/>
          <w:szCs w:val="22"/>
        </w:rPr>
        <w:t xml:space="preserve">Each backward solver has a forward-then-backward round-trip test that recovers the original input, plus dedicated edge-case coverage at threshold values (rate near zero, cola = rate, Newton non-convergence, 50-year terms, 50%+ rates).</w:t>
      </w:r>
    </w:p>
    <w:p>
      <w:pPr>
        <w:spacing w:after="120"/>
      </w:pPr>
      <w:r>
        <w:rPr>
          <w:b w:val="false"/>
          <w:bCs w:val="false"/>
          <w:i w:val="false"/>
          <w:iCs w:val="false"/>
        </w:rPr>
        <w:t xml:space="preserve">Together the three layers comprise roughly 600 passing tests. The complete suite runs in well under a minute on modern hardware via go test ./...</w:t>
      </w:r>
    </w:p>
    <w:p>
      <w:pPr>
        <w:pStyle w:val="Heading1"/>
        <w:spacing w:after="240" w:before="360"/>
      </w:pPr>
      <w:r>
        <w:rPr>
          <w:rFonts w:ascii="Calibri" w:cs="Calibri" w:eastAsia="Calibri" w:hAnsi="Calibri"/>
          <w:b/>
          <w:bCs/>
          <w:sz w:val="36"/>
          <w:szCs w:val="36"/>
        </w:rPr>
        <w:t xml:space="preserve">9. Remaining recommendations</w:t>
      </w:r>
    </w:p>
    <w:p>
      <w:pPr>
        <w:spacing w:after="120"/>
      </w:pPr>
      <w:r>
        <w:rPr>
          <w:b w:val="false"/>
          <w:bCs w:val="false"/>
          <w:i w:val="false"/>
          <w:iCs w:val="false"/>
        </w:rPr>
        <w:t xml:space="preserve">With Revision 2's follow-on work in place, the recommended next-step list has narrowed substantially. The remaining candidates, in rough order of value:</w:t>
      </w:r>
    </w:p>
    <w:p>
      <w:pPr>
        <w:pStyle w:val="ListParagraph"/>
        <w:numPr>
          <w:ilvl w:val="0"/>
          <w:numId w:val="2"/>
        </w:numPr>
        <w:spacing w:after="80"/>
      </w:pPr>
      <w:r>
        <w:rPr>
          <w:rFonts w:ascii="Calibri" w:cs="Calibri" w:eastAsia="Calibri" w:hAnsi="Calibri"/>
          <w:b/>
          <w:bCs/>
          <w:sz w:val="22"/>
          <w:szCs w:val="22"/>
        </w:rPr>
        <w:t xml:space="preserve">1. Regenerate refdata.json locally. </w:t>
      </w:r>
      <w:r>
        <w:rPr>
          <w:rFonts w:ascii="Calibri" w:cs="Calibri" w:eastAsia="Calibri" w:hAnsi="Calibri"/>
          <w:sz w:val="22"/>
          <w:szCs w:val="22"/>
        </w:rPr>
        <w:t xml:space="preserve">Run scripts/regen_refdata.sh --apply on a machine with Free Pascal installed to bake the new Rule-of-78 / in-advance / biweekly cases into the checked-in fixtures. Once committed, the three new cross-check tests will validate the harness on every CI run. Cost: minutes; user-impact: tightens DOS-output coverage by ~30%.</w:t>
      </w:r>
    </w:p>
    <w:p>
      <w:pPr>
        <w:pStyle w:val="ListParagraph"/>
        <w:numPr>
          <w:ilvl w:val="0"/>
          <w:numId w:val="2"/>
        </w:numPr>
        <w:spacing w:after="80"/>
      </w:pPr>
      <w:r>
        <w:rPr>
          <w:rFonts w:ascii="Calibri" w:cs="Calibri" w:eastAsia="Calibri" w:hAnsi="Calibri"/>
          <w:b/>
          <w:bCs/>
          <w:sz w:val="22"/>
          <w:szCs w:val="22"/>
        </w:rPr>
        <w:t xml:space="preserve">2. Extend refdata.pas with full-schedule cases. </w:t>
      </w:r>
      <w:r>
        <w:rPr>
          <w:rFonts w:ascii="Calibri" w:cs="Calibri" w:eastAsia="Calibri" w:hAnsi="Calibri"/>
          <w:sz w:val="22"/>
          <w:szCs w:val="22"/>
        </w:rPr>
        <w:t xml:space="preserve">The two remaining open areas (month-specific COLA under variable-rate mode, AO7 / V6-2 USA-Rule-with-ARM end-states) require simulating a multi-period schedule in Pascal. The cleanest implementation is to port a slim version of the RepayFancyLoan loop into the harness. Cost: medium (M-effort, ~3-5 days).</w:t>
      </w:r>
    </w:p>
    <w:p>
      <w:pPr>
        <w:pStyle w:val="ListParagraph"/>
        <w:numPr>
          <w:ilvl w:val="0"/>
          <w:numId w:val="2"/>
        </w:numPr>
        <w:spacing w:after="80"/>
      </w:pPr>
      <w:r>
        <w:rPr>
          <w:rFonts w:ascii="Calibri" w:cs="Calibri" w:eastAsia="Calibri" w:hAnsi="Calibri"/>
          <w:b/>
          <w:bCs/>
          <w:sz w:val="22"/>
          <w:szCs w:val="22"/>
        </w:rPr>
        <w:t xml:space="preserve">3. .psn write path. </w:t>
      </w:r>
      <w:r>
        <w:rPr>
          <w:rFonts w:ascii="Calibri" w:cs="Calibri" w:eastAsia="Calibri" w:hAnsi="Calibri"/>
          <w:sz w:val="22"/>
          <w:szCs w:val="22"/>
        </w:rPr>
        <w:t xml:space="preserve">The read path is in place; symmetric write support (POST /api/export/psn returning a downloadable binary) would let users round-trip workspaces back to the legacy desktop application. Driven only by a documented need for round-trip compatibility. Cost: medium.</w:t>
      </w:r>
    </w:p>
    <w:p>
      <w:pPr>
        <w:pStyle w:val="ListParagraph"/>
        <w:numPr>
          <w:ilvl w:val="0"/>
          <w:numId w:val="2"/>
        </w:numPr>
        <w:spacing w:after="80"/>
      </w:pPr>
      <w:r>
        <w:rPr>
          <w:rFonts w:ascii="Calibri" w:cs="Calibri" w:eastAsia="Calibri" w:hAnsi="Calibri"/>
          <w:b/>
          <w:bCs/>
          <w:sz w:val="22"/>
          <w:szCs w:val="22"/>
        </w:rPr>
        <w:t xml:space="preserve">4. Engine-wide structured FieldError threading. </w:t>
      </w:r>
      <w:r>
        <w:rPr>
          <w:rFonts w:ascii="Calibri" w:cs="Calibri" w:eastAsia="Calibri" w:hAnsi="Calibri"/>
          <w:sz w:val="22"/>
          <w:szCs w:val="22"/>
        </w:rPr>
        <w:t xml:space="preserve">A structural refactor that would replace regex-based field detection on engine error strings with a typed FieldError on every engine return. Behaviour-preserving; would only matter if a future feature needs to consume error metadata programmatically. Cost: medium-large (touches every engine fmt.Errorf).</w:t>
      </w:r>
    </w:p>
    <w:p>
      <w:pPr>
        <w:spacing w:after="120"/>
      </w:pPr>
      <w:r>
        <w:rPr>
          <w:b w:val="false"/>
          <w:bCs w:val="false"/>
          <w:i w:val="false"/>
          <w:iCs w:val="false"/>
        </w:rPr>
        <w:t xml:space="preserve">None of these are urgent. The port is production-quality for the common-path workflows described in the Windows help documentation, with the remaining gaps bounded, explicit, and individually scoped.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Per%Sense Port — Feature &amp; Application Differences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Per%Sense Port — Feature &amp; Application Differences</dc:title>
  <dc:creator>Per%Sense Port Team</dc:creator>
  <cp:lastModifiedBy>Un-named</cp:lastModifiedBy>
  <cp:revision>1</cp:revision>
  <dcterms:created xsi:type="dcterms:W3CDTF">2026-05-27T18:59:40.546Z</dcterms:created>
  <dcterms:modified xsi:type="dcterms:W3CDTF">2026-05-27T18:59:40.547Z</dcterms:modified>
</cp:coreProperties>
</file>

<file path=docProps/custom.xml><?xml version="1.0" encoding="utf-8"?>
<Properties xmlns="http://schemas.openxmlformats.org/officeDocument/2006/custom-properties" xmlns:vt="http://schemas.openxmlformats.org/officeDocument/2006/docPropsVTypes"/>
</file>