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Marketing Brand Guidelines</w:t>
      </w:r>
    </w:p>
    <w:p>
      <w:pPr>
        <w:pStyle w:val="Heading2"/>
      </w:pPr>
      <w:r>
        <w:t>Logo Usage</w:t>
      </w:r>
    </w:p>
    <w:p>
      <w:r>
        <w:t>Use the primary logo on all official materials. Do not alter proportions or colors.</w:t>
      </w:r>
    </w:p>
    <w:p>
      <w:pPr>
        <w:pStyle w:val="Heading2"/>
      </w:pPr>
      <w:r>
        <w:t>Color Palette</w:t>
      </w:r>
    </w:p>
    <w:p>
      <w:r>
        <w:t>Primary colors: Blue (#0044cc), White (#ffffff). Secondary colors: Gray (#888888).</w:t>
      </w:r>
    </w:p>
    <w:p>
      <w:pPr>
        <w:pStyle w:val="Heading2"/>
      </w:pPr>
      <w:r>
        <w:t>Tone of Voice</w:t>
      </w:r>
    </w:p>
    <w:p>
      <w:r>
        <w:t>Professional yet approachable. Avoid jargon and use active voice.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