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F6F8D8">
      <w:pPr>
        <w:pStyle w:val="3"/>
        <w:bidi w:val="0"/>
        <w:jc w:val="center"/>
        <w:outlineLvl w:val="0"/>
        <w:rPr>
          <w:rFonts w:hint="eastAsia"/>
          <w:b w:val="0"/>
          <w:bCs/>
          <w:sz w:val="44"/>
          <w:szCs w:val="44"/>
          <w:lang w:val="en-US" w:eastAsia="zh-CN"/>
        </w:rPr>
      </w:pPr>
    </w:p>
    <w:p w14:paraId="64D594CB">
      <w:pPr>
        <w:pStyle w:val="3"/>
        <w:bidi w:val="0"/>
        <w:jc w:val="center"/>
        <w:outlineLvl w:val="0"/>
        <w:rPr>
          <w:rFonts w:hint="eastAsia"/>
          <w:b w:val="0"/>
          <w:bCs/>
          <w:sz w:val="44"/>
          <w:szCs w:val="44"/>
          <w:lang w:val="en-US" w:eastAsia="zh-CN"/>
        </w:rPr>
      </w:pPr>
    </w:p>
    <w:p w14:paraId="3E7515FF">
      <w:pPr>
        <w:pStyle w:val="3"/>
        <w:bidi w:val="0"/>
        <w:jc w:val="center"/>
        <w:outlineLvl w:val="0"/>
        <w:rPr>
          <w:rFonts w:hint="eastAsia"/>
          <w:b w:val="0"/>
          <w:bCs/>
          <w:sz w:val="44"/>
          <w:szCs w:val="44"/>
          <w:lang w:val="en-US" w:eastAsia="zh-CN"/>
        </w:rPr>
      </w:pPr>
    </w:p>
    <w:p w14:paraId="5A5A39EC">
      <w:pPr>
        <w:pStyle w:val="3"/>
        <w:bidi w:val="0"/>
        <w:jc w:val="center"/>
        <w:outlineLvl w:val="0"/>
        <w:rPr>
          <w:rFonts w:hint="eastAsia"/>
          <w:b w:val="0"/>
          <w:bCs/>
          <w:sz w:val="44"/>
          <w:szCs w:val="44"/>
          <w:lang w:val="en-US" w:eastAsia="zh-CN"/>
        </w:rPr>
      </w:pPr>
      <w:r>
        <w:rPr>
          <w:rFonts w:hint="eastAsia"/>
          <w:b w:val="0"/>
          <w:bCs/>
          <w:sz w:val="44"/>
          <w:szCs w:val="44"/>
          <w:lang w:val="en-US" w:eastAsia="zh-CN"/>
        </w:rPr>
        <w:t>总体刚度矩阵序设计</w:t>
      </w:r>
    </w:p>
    <w:p w14:paraId="48C53A8F">
      <w:pPr>
        <w:rPr>
          <w:rFonts w:hint="eastAsia"/>
          <w:b/>
          <w:bCs/>
          <w:sz w:val="44"/>
          <w:szCs w:val="44"/>
          <w:lang w:val="en-US" w:eastAsia="zh-CN"/>
        </w:rPr>
      </w:pPr>
    </w:p>
    <w:p w14:paraId="516BFD4B">
      <w:pPr>
        <w:ind w:firstLine="2530" w:firstLineChars="700"/>
        <w:jc w:val="both"/>
        <w:rPr>
          <w:rFonts w:hint="eastAsia" w:asciiTheme="minorHAnsi" w:eastAsiaTheme="minorEastAsia"/>
          <w:b/>
          <w:bCs/>
          <w:sz w:val="36"/>
          <w:szCs w:val="36"/>
          <w:lang w:val="en-US" w:eastAsia="zh-CN"/>
        </w:rPr>
      </w:pPr>
    </w:p>
    <w:p w14:paraId="5538FFC0">
      <w:pPr>
        <w:ind w:firstLine="2108" w:firstLineChars="700"/>
        <w:jc w:val="both"/>
        <w:rPr>
          <w:rFonts w:hint="eastAsia" w:asciiTheme="minorHAnsi" w:eastAsiaTheme="minorEastAsia"/>
          <w:b/>
          <w:bCs/>
          <w:sz w:val="30"/>
          <w:szCs w:val="30"/>
          <w:lang w:val="en-US" w:eastAsia="zh-CN"/>
        </w:rPr>
      </w:pPr>
    </w:p>
    <w:p w14:paraId="76183525">
      <w:pPr>
        <w:ind w:firstLine="2108" w:firstLineChars="700"/>
        <w:jc w:val="both"/>
        <w:rPr>
          <w:rFonts w:hint="eastAsia" w:asciiTheme="minorHAnsi" w:eastAsiaTheme="minorEastAsia"/>
          <w:b/>
          <w:bCs/>
          <w:sz w:val="30"/>
          <w:szCs w:val="30"/>
          <w:lang w:val="en-US" w:eastAsia="zh-CN"/>
        </w:rPr>
      </w:pPr>
    </w:p>
    <w:p w14:paraId="434CBECB">
      <w:pPr>
        <w:ind w:firstLine="2520" w:firstLineChars="700"/>
        <w:jc w:val="left"/>
        <w:rPr>
          <w:rFonts w:hint="eastAsia" w:asciiTheme="minorHAnsi" w:eastAsiaTheme="minorEastAsia"/>
          <w:b w:val="0"/>
          <w:bCs w:val="0"/>
          <w:sz w:val="36"/>
          <w:szCs w:val="36"/>
          <w:lang w:val="en-US" w:eastAsia="zh-CN"/>
        </w:rPr>
      </w:pPr>
    </w:p>
    <w:p w14:paraId="2BDCF22A">
      <w:pPr>
        <w:ind w:firstLine="2520" w:firstLineChars="700"/>
        <w:jc w:val="left"/>
        <w:rPr>
          <w:rFonts w:hint="eastAsia" w:asciiTheme="minorHAnsi" w:eastAsiaTheme="minorEastAsia"/>
          <w:b w:val="0"/>
          <w:bCs w:val="0"/>
          <w:sz w:val="36"/>
          <w:szCs w:val="36"/>
          <w:lang w:val="en-US" w:eastAsia="zh-CN"/>
        </w:rPr>
      </w:pPr>
    </w:p>
    <w:p w14:paraId="3C10088E">
      <w:pPr>
        <w:ind w:firstLine="2520" w:firstLineChars="700"/>
        <w:jc w:val="left"/>
        <w:rPr>
          <w:rFonts w:hint="default"/>
          <w:b w:val="0"/>
          <w:bCs w:val="0"/>
          <w:sz w:val="36"/>
          <w:szCs w:val="36"/>
          <w:lang w:val="en-US"/>
        </w:rPr>
      </w:pPr>
      <w:r>
        <w:rPr>
          <w:rFonts w:hint="eastAsia" w:asciiTheme="minorHAnsi" w:eastAsiaTheme="minorEastAsia"/>
          <w:b w:val="0"/>
          <w:bCs w:val="0"/>
          <w:sz w:val="36"/>
          <w:szCs w:val="36"/>
          <w:lang w:val="en-US" w:eastAsia="zh-CN"/>
        </w:rPr>
        <w:t>指导教师</w:t>
      </w:r>
      <w:r>
        <w:rPr>
          <w:rFonts w:hint="eastAsia"/>
          <w:b w:val="0"/>
          <w:bCs w:val="0"/>
          <w:sz w:val="36"/>
          <w:szCs w:val="36"/>
          <w:lang w:val="en-US" w:eastAsia="zh-CN"/>
        </w:rPr>
        <w:t>：郭然 肖姚</w:t>
      </w:r>
    </w:p>
    <w:p w14:paraId="418AAB1A">
      <w:pPr>
        <w:ind w:firstLine="2520" w:firstLineChars="700"/>
        <w:jc w:val="both"/>
        <w:rPr>
          <w:rFonts w:hint="eastAsia"/>
          <w:b w:val="0"/>
          <w:bCs w:val="0"/>
          <w:sz w:val="36"/>
          <w:szCs w:val="36"/>
          <w:lang w:val="en-US" w:eastAsia="zh-CN"/>
        </w:rPr>
      </w:pPr>
      <w:r>
        <w:rPr>
          <w:rFonts w:hint="eastAsia"/>
          <w:b w:val="0"/>
          <w:bCs w:val="0"/>
          <w:sz w:val="36"/>
          <w:szCs w:val="36"/>
          <w:lang w:val="en-US" w:eastAsia="zh-CN"/>
        </w:rPr>
        <w:t>姓名</w:t>
      </w:r>
      <w:r>
        <w:rPr>
          <w:rFonts w:hint="eastAsia"/>
          <w:b w:val="0"/>
          <w:bCs w:val="0"/>
          <w:sz w:val="36"/>
          <w:szCs w:val="36"/>
        </w:rPr>
        <w:t>：高建成</w:t>
      </w:r>
      <w:r>
        <w:rPr>
          <w:rFonts w:hint="eastAsia"/>
          <w:b w:val="0"/>
          <w:bCs w:val="0"/>
          <w:sz w:val="36"/>
          <w:szCs w:val="36"/>
          <w:lang w:val="en-US" w:eastAsia="zh-CN"/>
        </w:rPr>
        <w:t xml:space="preserve"> </w:t>
      </w:r>
    </w:p>
    <w:p w14:paraId="5420A219">
      <w:pPr>
        <w:ind w:firstLine="2520" w:firstLineChars="700"/>
        <w:jc w:val="both"/>
        <w:rPr>
          <w:rFonts w:hint="default" w:eastAsiaTheme="minorEastAsia"/>
          <w:b w:val="0"/>
          <w:bCs w:val="0"/>
          <w:sz w:val="36"/>
          <w:szCs w:val="36"/>
          <w:lang w:val="en-US" w:eastAsia="zh-CN"/>
        </w:rPr>
      </w:pPr>
      <w:r>
        <w:rPr>
          <w:rFonts w:hint="eastAsia"/>
          <w:b w:val="0"/>
          <w:bCs w:val="0"/>
          <w:sz w:val="36"/>
          <w:szCs w:val="36"/>
          <w:lang w:val="en-US" w:eastAsia="zh-CN"/>
        </w:rPr>
        <w:t>学号：202311012119</w:t>
      </w:r>
    </w:p>
    <w:p w14:paraId="57204A23">
      <w:pPr>
        <w:ind w:firstLine="2520" w:firstLineChars="700"/>
        <w:jc w:val="both"/>
        <w:rPr>
          <w:rFonts w:hint="eastAsia"/>
          <w:b w:val="0"/>
          <w:bCs w:val="0"/>
          <w:sz w:val="36"/>
          <w:szCs w:val="36"/>
          <w:lang w:val="en-US" w:eastAsia="zh-CN"/>
        </w:rPr>
      </w:pPr>
      <w:r>
        <w:rPr>
          <w:rFonts w:hint="eastAsia"/>
          <w:b w:val="0"/>
          <w:bCs w:val="0"/>
          <w:sz w:val="36"/>
          <w:szCs w:val="36"/>
        </w:rPr>
        <w:t>班级：</w:t>
      </w:r>
      <w:r>
        <w:rPr>
          <w:rFonts w:hint="eastAsia"/>
          <w:b w:val="0"/>
          <w:bCs w:val="0"/>
          <w:sz w:val="36"/>
          <w:szCs w:val="36"/>
          <w:lang w:val="en-US" w:eastAsia="zh-CN"/>
        </w:rPr>
        <w:t>工力231</w:t>
      </w:r>
    </w:p>
    <w:p w14:paraId="7690C294">
      <w:pPr>
        <w:ind w:firstLine="2520" w:firstLineChars="700"/>
        <w:jc w:val="both"/>
        <w:rPr>
          <w:rFonts w:hint="default"/>
          <w:b w:val="0"/>
          <w:bCs w:val="0"/>
          <w:sz w:val="36"/>
          <w:szCs w:val="36"/>
          <w:lang w:val="en-US" w:eastAsia="zh-CN"/>
        </w:rPr>
      </w:pPr>
      <w:r>
        <w:rPr>
          <w:rFonts w:hint="eastAsia"/>
          <w:b w:val="0"/>
          <w:bCs w:val="0"/>
          <w:sz w:val="36"/>
          <w:szCs w:val="36"/>
          <w:lang w:val="en-US" w:eastAsia="zh-CN"/>
        </w:rPr>
        <w:t>学院：建筑工程学院</w:t>
      </w:r>
    </w:p>
    <w:p w14:paraId="70D870CB">
      <w:pPr>
        <w:ind w:firstLine="2520" w:firstLineChars="700"/>
        <w:jc w:val="both"/>
        <w:rPr>
          <w:rFonts w:hint="default"/>
          <w:b w:val="0"/>
          <w:bCs w:val="0"/>
          <w:sz w:val="36"/>
          <w:szCs w:val="36"/>
          <w:lang w:eastAsia="zh-CN"/>
        </w:rPr>
      </w:pPr>
      <w:r>
        <w:rPr>
          <w:rFonts w:hint="eastAsia"/>
          <w:b w:val="0"/>
          <w:bCs w:val="0"/>
          <w:sz w:val="36"/>
          <w:szCs w:val="36"/>
          <w:lang w:val="en-US" w:eastAsia="zh-CN"/>
        </w:rPr>
        <w:t>时间：2026.5.</w:t>
      </w:r>
      <w:r>
        <w:rPr>
          <w:rFonts w:hint="default"/>
          <w:b w:val="0"/>
          <w:bCs w:val="0"/>
          <w:sz w:val="36"/>
          <w:szCs w:val="36"/>
          <w:lang w:eastAsia="zh-CN"/>
        </w:rPr>
        <w:t>2</w:t>
      </w:r>
    </w:p>
    <w:p w14:paraId="68F4CF8A">
      <w:pPr>
        <w:rPr>
          <w:rFonts w:hint="default"/>
          <w:b/>
          <w:bCs/>
          <w:sz w:val="28"/>
          <w:szCs w:val="28"/>
          <w:lang w:val="en-US" w:eastAsia="zh-CN"/>
        </w:rPr>
      </w:pPr>
    </w:p>
    <w:p w14:paraId="4CD80F03">
      <w:pPr>
        <w:rPr>
          <w:rFonts w:hint="default"/>
          <w:b/>
          <w:bCs/>
          <w:sz w:val="28"/>
          <w:szCs w:val="28"/>
          <w:lang w:val="en-US" w:eastAsia="zh-CN"/>
        </w:rPr>
      </w:pPr>
    </w:p>
    <w:p w14:paraId="40D84551">
      <w:pPr>
        <w:rPr>
          <w:rFonts w:hint="default"/>
          <w:b/>
          <w:bCs/>
          <w:sz w:val="28"/>
          <w:szCs w:val="28"/>
          <w:lang w:val="en-US" w:eastAsia="zh-CN"/>
        </w:rPr>
      </w:pPr>
    </w:p>
    <w:p w14:paraId="16D9B1F3">
      <w:pPr>
        <w:rPr>
          <w:rFonts w:hint="default"/>
          <w:b/>
          <w:bCs/>
          <w:sz w:val="28"/>
          <w:szCs w:val="28"/>
          <w:lang w:val="en-US" w:eastAsia="zh-CN"/>
        </w:rPr>
      </w:pPr>
    </w:p>
    <w:p w14:paraId="5763D03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eastAsia" w:ascii="宋体" w:hAnsi="宋体" w:eastAsia="宋体" w:cs="宋体"/>
          <w:b w:val="0"/>
          <w:bCs w:val="0"/>
          <w:color w:val="000000"/>
          <w:sz w:val="28"/>
          <w:szCs w:val="28"/>
        </w:rPr>
      </w:pPr>
      <w:r>
        <w:rPr>
          <w:rFonts w:hint="eastAsia" w:ascii="宋体" w:hAnsi="宋体" w:eastAsia="宋体" w:cs="宋体"/>
          <w:b w:val="0"/>
          <w:bCs w:val="0"/>
          <w:color w:val="000000"/>
          <w:sz w:val="28"/>
          <w:szCs w:val="28"/>
          <w:lang w:val="en-US" w:eastAsia="zh-CN"/>
        </w:rPr>
        <w:t>1</w:t>
      </w:r>
      <w:r>
        <w:rPr>
          <w:rFonts w:hint="eastAsia" w:ascii="宋体" w:hAnsi="宋体" w:eastAsia="宋体" w:cs="宋体"/>
          <w:b w:val="0"/>
          <w:bCs w:val="0"/>
          <w:color w:val="000000"/>
          <w:sz w:val="28"/>
          <w:szCs w:val="28"/>
        </w:rPr>
        <w:t>、总体刚度方程的建立过程</w:t>
      </w:r>
    </w:p>
    <w:p w14:paraId="272705A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80" w:firstLineChars="20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有限元静力分析的核心控制方程为总体刚度方程，表达式为</w:t>
      </w:r>
      <m:oMath>
        <m:r>
          <m:rPr>
            <m:sty m:val="p"/>
          </m:rPr>
          <w:rPr>
            <w:rFonts w:hint="eastAsia" w:ascii="Cambria Math" w:hAnsi="Cambria Math" w:eastAsia="宋体" w:cs="宋体"/>
            <w:color w:val="000000"/>
            <w:kern w:val="0"/>
            <w:sz w:val="24"/>
            <w:szCs w:val="24"/>
            <w:lang w:val="en-US" w:eastAsia="zh-CN" w:bidi="ar"/>
          </w:rPr>
          <m:t>Kd=F</m:t>
        </m:r>
      </m:oMath>
      <w:r>
        <w:rPr>
          <w:rFonts w:hint="eastAsia" w:ascii="宋体" w:hAnsi="宋体" w:eastAsia="宋体" w:cs="宋体"/>
          <w:b w:val="0"/>
          <w:bCs w:val="0"/>
          <w:color w:val="000000"/>
          <w:kern w:val="0"/>
          <w:sz w:val="24"/>
          <w:szCs w:val="24"/>
          <w:lang w:val="en-US" w:eastAsia="zh-CN" w:bidi="ar"/>
        </w:rPr>
        <w:t>。式中 K 代表总体刚度矩阵，由全部单元刚度矩阵整合得到；d 为节点位移向量，存储结构所有节点各自由度的位移结果；F 为节点载荷向量，包含外加载荷与支座约束反力。</w:t>
      </w:r>
    </w:p>
    <w:p w14:paraId="58D2F75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80" w:firstLineChars="20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整体方程建立遵循标准化流程。首先依据线弹性本构关系，分别推导一维杆单元、二维桁架单元的局部刚度矩阵，二维桁架还需结合方向余弦完成局部坐标系到全局坐标系的转换。其次构建自由度映射关系，依托对号矩阵建立单元局部自由度与结构全局自由度的对应联系。随后遍历所有单元，将各单元刚度矩阵按照映射关系依次累加，完成总体刚度矩阵组装。同时根据实际载荷分布，完成总体载荷向量的赋值与初始化。</w:t>
      </w:r>
    </w:p>
    <w:p w14:paraId="21844EE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80" w:firstLineChars="20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由于未施加约束的结构存在刚体位移，此时总体刚度矩阵呈奇异状态，无法直接求解，因此需要引入位移边界条件修正控制方程，消除刚体位移影响。方程求解得到节点位移后，再结合单元几何与力学参数，反向计算单元应力、轴力以及支座约束反力，完成整个有限元分析流程。</w:t>
      </w:r>
    </w:p>
    <w:p w14:paraId="6FA6F8C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eastAsia" w:ascii="宋体" w:hAnsi="宋体" w:eastAsia="宋体" w:cs="宋体"/>
          <w:b w:val="0"/>
          <w:bCs w:val="0"/>
          <w:color w:val="000000"/>
          <w:sz w:val="24"/>
          <w:szCs w:val="24"/>
        </w:rPr>
      </w:pPr>
      <w:r>
        <w:rPr>
          <w:rFonts w:hint="eastAsia" w:ascii="宋体" w:hAnsi="宋体" w:eastAsia="宋体" w:cs="宋体"/>
          <w:b w:val="0"/>
          <w:bCs w:val="0"/>
          <w:color w:val="000000"/>
          <w:sz w:val="28"/>
          <w:szCs w:val="28"/>
          <w:lang w:val="en-US" w:eastAsia="zh-CN"/>
        </w:rPr>
        <w:t>2</w:t>
      </w:r>
      <w:r>
        <w:rPr>
          <w:rFonts w:hint="eastAsia" w:ascii="宋体" w:hAnsi="宋体" w:eastAsia="宋体" w:cs="宋体"/>
          <w:b w:val="0"/>
          <w:bCs w:val="0"/>
          <w:color w:val="000000"/>
          <w:sz w:val="28"/>
          <w:szCs w:val="28"/>
        </w:rPr>
        <w:t>、对号矩阵的生成方法</w:t>
      </w:r>
    </w:p>
    <w:p w14:paraId="1C2845E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80" w:firstLineChars="20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对号矩阵是有限元组装环节的核心映射工具，主要作用是建立单元局部自由度与结构全局自由度的一一对应关系，矩阵中每一个数值都代表当前单元局部自由度所对应的全局自由度编号，为单元刚度矩阵的整体组装提供索引依据。</w:t>
      </w:r>
    </w:p>
    <w:p w14:paraId="03EE888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对号矩阵的维度由单元内总自由度和单元总数共同决定。生成时首先根据单节点自由度与单单元节点数量，计算出单个单元包含的局部自由度总数。之后逐个遍历结构内所有单元，读取每个单元对应的节点编号，再依次遍历单元内每个节点的各个自由度，按照节点编号与自由度序号换算出对应的全局自由度编号，并将结果填入对号矩阵对应位置。</w:t>
      </w:r>
    </w:p>
    <w:p w14:paraId="34E0736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80" w:firstLineChars="20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本次计算全程采用零基索引规则，与程序数组索引规则保持统一，有效规避了编号转换带来的计算错误，保证自由度映射的准确性。</w:t>
      </w:r>
    </w:p>
    <w:p w14:paraId="3D90E92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eastAsia" w:ascii="宋体" w:hAnsi="宋体" w:eastAsia="宋体" w:cs="宋体"/>
          <w:b w:val="0"/>
          <w:bCs w:val="0"/>
          <w:color w:val="000000"/>
          <w:sz w:val="28"/>
          <w:szCs w:val="28"/>
        </w:rPr>
      </w:pPr>
      <w:r>
        <w:rPr>
          <w:rFonts w:hint="eastAsia" w:ascii="宋体" w:hAnsi="宋体" w:eastAsia="宋体" w:cs="宋体"/>
          <w:b w:val="0"/>
          <w:bCs w:val="0"/>
          <w:color w:val="000000"/>
          <w:sz w:val="28"/>
          <w:szCs w:val="28"/>
          <w:lang w:val="en-US" w:eastAsia="zh-CN"/>
        </w:rPr>
        <w:t>3</w:t>
      </w:r>
      <w:r>
        <w:rPr>
          <w:rFonts w:hint="eastAsia" w:ascii="宋体" w:hAnsi="宋体" w:eastAsia="宋体" w:cs="宋体"/>
          <w:b w:val="0"/>
          <w:bCs w:val="0"/>
          <w:color w:val="000000"/>
          <w:sz w:val="28"/>
          <w:szCs w:val="28"/>
        </w:rPr>
        <w:t>、直接组装算法说明</w:t>
      </w:r>
    </w:p>
    <w:p w14:paraId="22DA695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80" w:firstLineChars="20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本次计算采用直接组装法完成总体刚度矩阵的集成，该方法逻辑直观、易于实现，是中小型结构有限元分析常用的组装方式。</w:t>
      </w:r>
    </w:p>
    <w:p w14:paraId="7E3EFFC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80" w:firstLineChars="20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首先根据结构总自由度数量，初始化一个同维度的零矩阵作为初始总体刚度矩阵。其次逐一对每个单元进行计算，区分一维杆单元与二维桁架单元，分别求解得到单元在全局坐标系下的刚度矩阵。再借助对号矩阵，提取当前单元所有局部自由度对应的全局自由度编号，将单元刚度矩阵中的每一个元素，按照索引位置累加到总体刚度矩阵当中。重复该过程直至所有单元计算、组装完毕，最终形成完整的总体刚度矩阵。</w:t>
      </w:r>
    </w:p>
    <w:p w14:paraId="6BEF240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80" w:firstLineChars="20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该算法逻辑简单清晰，适配杆系、桁架类简单结构。但算法基于稠密矩阵进行存储与计算，当结构单元、节点数量大幅增加时，会出现内存占用大、计算效率下降的问题，针对大型工程结构，可改用稀疏矩阵存储方式进行优化。</w:t>
      </w:r>
    </w:p>
    <w:p w14:paraId="72D8CEA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eastAsia" w:ascii="宋体" w:hAnsi="宋体" w:eastAsia="宋体" w:cs="宋体"/>
          <w:b w:val="0"/>
          <w:bCs w:val="0"/>
          <w:color w:val="000000"/>
          <w:sz w:val="28"/>
          <w:szCs w:val="28"/>
        </w:rPr>
      </w:pPr>
      <w:r>
        <w:rPr>
          <w:rFonts w:hint="eastAsia" w:ascii="宋体" w:hAnsi="宋体" w:eastAsia="宋体" w:cs="宋体"/>
          <w:b w:val="0"/>
          <w:bCs w:val="0"/>
          <w:color w:val="000000"/>
          <w:sz w:val="28"/>
          <w:szCs w:val="28"/>
          <w:lang w:val="en-US" w:eastAsia="zh-CN"/>
        </w:rPr>
        <w:t>4</w:t>
      </w:r>
      <w:r>
        <w:rPr>
          <w:rFonts w:hint="eastAsia" w:ascii="宋体" w:hAnsi="宋体" w:eastAsia="宋体" w:cs="宋体"/>
          <w:b w:val="0"/>
          <w:bCs w:val="0"/>
          <w:color w:val="000000"/>
          <w:sz w:val="28"/>
          <w:szCs w:val="28"/>
        </w:rPr>
        <w:t>、位移边界条件的处理方法</w:t>
      </w:r>
    </w:p>
    <w:p w14:paraId="744F4B3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80" w:firstLineChars="20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结构支座会对部分节点自由度产生位移限制，也就是位移边界条件。未处理边界条件的总体刚度矩阵存在奇异性，必须对控制方程进行修正，约束刚体位移后才能正常求解。本次实验采用缩减法处理位移边界条件。</w:t>
      </w:r>
    </w:p>
    <w:p w14:paraId="2728467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首先将结构全部自由度划分为两类，一类是无位移约束的自由自由度，该类自由度位移为待求未知量；另一类是被支座限制的约束自由度，该类自由度位移为已知定值，多数工况下约束位移为零。随后按照自由自由度与约束自由度，对整体刚度矩阵、位移向量、载荷向量进行分块处理，拆分出分块刚度矩阵与分块载荷向量。</w:t>
      </w:r>
    </w:p>
    <w:p w14:paraId="7DDDAE0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80" w:firstLineChars="20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结合分块后的控制方程，推导出自由自由度位移的求解公式，代入数据计算得到未知位移结果。将求解得到的自由位移与已知的约束位移整合，重构出完整的全局节点位移向量。最后结合整体刚度方程，计算出所有支座位置的约束反力，完成边界条件处理与方程求解全过程。</w:t>
      </w:r>
    </w:p>
    <w:p w14:paraId="4798C6E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缩减法直接剔除约束自由度进行求解，修正后的分块刚度矩阵具备正定性，求解稳定性强，十分适合约束数量较少的中小型杆系、桁架结构。</w:t>
      </w:r>
    </w:p>
    <w:p w14:paraId="248F267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eastAsia" w:ascii="宋体" w:hAnsi="宋体" w:eastAsia="宋体" w:cs="宋体"/>
          <w:b w:val="0"/>
          <w:bCs w:val="0"/>
          <w:color w:val="000000"/>
          <w:sz w:val="24"/>
          <w:szCs w:val="24"/>
        </w:rPr>
      </w:pPr>
      <w:r>
        <w:rPr>
          <w:rFonts w:hint="eastAsia" w:ascii="宋体" w:hAnsi="宋体" w:eastAsia="宋体" w:cs="宋体"/>
          <w:b w:val="0"/>
          <w:bCs w:val="0"/>
          <w:color w:val="000000"/>
          <w:sz w:val="28"/>
          <w:szCs w:val="28"/>
          <w:lang w:val="en-US" w:eastAsia="zh-CN"/>
        </w:rPr>
        <w:t>5</w:t>
      </w:r>
      <w:r>
        <w:rPr>
          <w:rFonts w:hint="eastAsia" w:ascii="宋体" w:hAnsi="宋体" w:eastAsia="宋体" w:cs="宋体"/>
          <w:b w:val="0"/>
          <w:bCs w:val="0"/>
          <w:color w:val="000000"/>
          <w:sz w:val="28"/>
          <w:szCs w:val="28"/>
        </w:rPr>
        <w:t>、算例分析</w:t>
      </w:r>
    </w:p>
    <w:p w14:paraId="27AA776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eastAsia" w:ascii="宋体" w:hAnsi="宋体" w:eastAsia="宋体" w:cs="宋体"/>
          <w:b w:val="0"/>
          <w:bCs w:val="0"/>
          <w:color w:val="000000"/>
          <w:sz w:val="24"/>
          <w:szCs w:val="24"/>
        </w:rPr>
      </w:pPr>
      <w:r>
        <w:rPr>
          <w:rFonts w:hint="eastAsia" w:ascii="宋体" w:hAnsi="宋体" w:eastAsia="宋体" w:cs="宋体"/>
          <w:b w:val="0"/>
          <w:bCs w:val="0"/>
          <w:color w:val="000000"/>
          <w:sz w:val="24"/>
          <w:szCs w:val="24"/>
          <w:lang w:val="en-US" w:eastAsia="zh-CN"/>
        </w:rPr>
        <w:t>5.1</w:t>
      </w:r>
      <w:r>
        <w:rPr>
          <w:rFonts w:hint="eastAsia" w:ascii="宋体" w:hAnsi="宋体" w:eastAsia="宋体" w:cs="宋体"/>
          <w:b w:val="0"/>
          <w:bCs w:val="0"/>
          <w:color w:val="000000"/>
          <w:sz w:val="24"/>
          <w:szCs w:val="24"/>
        </w:rPr>
        <w:t>一维两单元杆结构</w:t>
      </w:r>
    </w:p>
    <w:p w14:paraId="3D6A2CE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本算例为轴向受拉的一维串联杆结构，结构共包含三个节点、两个杆单元，两个单元截面积相同，弹性模量存在差异。结构左端节点完全固定，轴向位移为零，在最右端节点施加轴向集中拉力。</w:t>
      </w:r>
    </w:p>
    <w:p w14:paraId="27CCDAF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完成模型读取、自由度映射、刚度矩阵组装后，得到结构总体刚度矩阵，矩阵具备典型的对称特征，未施加边界条件时矩阵呈奇异状态，符合杆结构存在刚体位移的力学特性。代入位移边界条件求解后，得到各节点轴向位移结果。结合单元几何参数与节点位移，进一步计算得到两个杆单元的轴力与应力。</w:t>
      </w:r>
    </w:p>
    <w:p w14:paraId="17937D2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b w:val="0"/>
          <w:bCs w:val="0"/>
          <w:color w:val="000000"/>
          <w:kern w:val="0"/>
          <w:sz w:val="24"/>
          <w:szCs w:val="24"/>
          <w:lang w:val="en-US" w:eastAsia="zh-CN" w:bidi="ar"/>
        </w:rPr>
      </w:pPr>
      <w:r>
        <w:rPr>
          <w:rFonts w:hint="eastAsia" w:ascii="宋体" w:hAnsi="宋体" w:eastAsia="宋体" w:cs="宋体"/>
          <w:b w:val="0"/>
          <w:bCs w:val="0"/>
          <w:color w:val="000000"/>
          <w:kern w:val="0"/>
          <w:sz w:val="24"/>
          <w:szCs w:val="24"/>
          <w:lang w:val="en-US" w:eastAsia="zh-CN" w:bidi="ar"/>
        </w:rPr>
        <w:t>从计算结果可以看出，两个单元轴力完全相等，满足轴向杆结构内力传递规律，结构左端支座约束反力与外加载荷大小相等、方向相反，整体结构受力达到平衡。单元伸长量与材料弹性模量成反比，位移、内力计算结果均符合材料力学基本理论，验证了程序计算的正确性。</w:t>
      </w:r>
    </w:p>
    <w:p w14:paraId="429E399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center"/>
        <w:rPr>
          <w:rFonts w:hint="eastAsia" w:ascii="宋体" w:hAnsi="宋体" w:eastAsia="宋体" w:cs="宋体"/>
          <w:b w:val="0"/>
          <w:bCs w:val="0"/>
          <w:color w:val="000000"/>
          <w:kern w:val="0"/>
          <w:sz w:val="24"/>
          <w:szCs w:val="24"/>
          <w:lang w:val="en-US" w:eastAsia="zh-CN" w:bidi="ar"/>
        </w:rPr>
      </w:pPr>
      <w:r>
        <w:rPr>
          <w:rFonts w:hint="eastAsia" w:ascii="宋体" w:hAnsi="宋体" w:eastAsia="宋体" w:cs="宋体"/>
          <w:b w:val="0"/>
          <w:bCs w:val="0"/>
          <w:color w:val="000000"/>
          <w:kern w:val="0"/>
          <w:sz w:val="24"/>
          <w:szCs w:val="24"/>
          <w:lang w:val="en-US" w:eastAsia="zh-CN" w:bidi="ar"/>
        </w:rPr>
        <w:drawing>
          <wp:inline distT="0" distB="0" distL="114300" distR="114300">
            <wp:extent cx="5226050" cy="2742565"/>
            <wp:effectExtent l="0" t="0" r="6350" b="635"/>
            <wp:docPr id="2" name="图片 2" descr="屏幕截图 2026-06-15 104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屏幕截图 2026-06-15 104110"/>
                    <pic:cNvPicPr>
                      <a:picLocks noChangeAspect="1"/>
                    </pic:cNvPicPr>
                  </pic:nvPicPr>
                  <pic:blipFill>
                    <a:blip r:embed="rId4"/>
                    <a:stretch>
                      <a:fillRect/>
                    </a:stretch>
                  </pic:blipFill>
                  <pic:spPr>
                    <a:xfrm>
                      <a:off x="0" y="0"/>
                      <a:ext cx="5226050" cy="2742565"/>
                    </a:xfrm>
                    <a:prstGeom prst="rect">
                      <a:avLst/>
                    </a:prstGeom>
                  </pic:spPr>
                </pic:pic>
              </a:graphicData>
            </a:graphic>
          </wp:inline>
        </w:drawing>
      </w:r>
    </w:p>
    <w:p w14:paraId="0697BEC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center"/>
        <w:rPr>
          <w:rFonts w:hint="default" w:ascii="宋体" w:hAnsi="宋体" w:eastAsia="宋体" w:cs="宋体"/>
          <w:b w:val="0"/>
          <w:bCs w:val="0"/>
          <w:color w:val="000000"/>
          <w:sz w:val="24"/>
          <w:szCs w:val="24"/>
          <w:lang w:val="en-US" w:eastAsia="zh-CN"/>
        </w:rPr>
      </w:pPr>
      <w:r>
        <w:rPr>
          <w:rFonts w:hint="eastAsia" w:ascii="宋体" w:hAnsi="宋体" w:eastAsia="宋体" w:cs="宋体"/>
          <w:b w:val="0"/>
          <w:bCs w:val="0"/>
          <w:color w:val="000000"/>
          <w:sz w:val="24"/>
          <w:szCs w:val="24"/>
          <w:lang w:val="en-US" w:eastAsia="zh-CN"/>
        </w:rPr>
        <w:t>图1.算例1结果</w:t>
      </w:r>
    </w:p>
    <w:p w14:paraId="69C3655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eastAsia" w:ascii="宋体" w:hAnsi="宋体" w:eastAsia="宋体" w:cs="宋体"/>
          <w:b w:val="0"/>
          <w:bCs w:val="0"/>
          <w:color w:val="000000"/>
          <w:sz w:val="24"/>
          <w:szCs w:val="24"/>
        </w:rPr>
      </w:pPr>
      <w:r>
        <w:rPr>
          <w:rFonts w:hint="eastAsia" w:ascii="宋体" w:hAnsi="宋体" w:eastAsia="宋体" w:cs="宋体"/>
          <w:b w:val="0"/>
          <w:bCs w:val="0"/>
          <w:color w:val="000000"/>
          <w:sz w:val="24"/>
          <w:szCs w:val="24"/>
          <w:lang w:val="en-US" w:eastAsia="zh-CN"/>
        </w:rPr>
        <w:t>5.2</w:t>
      </w:r>
      <w:r>
        <w:rPr>
          <w:rFonts w:hint="eastAsia" w:ascii="宋体" w:hAnsi="宋体" w:eastAsia="宋体" w:cs="宋体"/>
          <w:b w:val="0"/>
          <w:bCs w:val="0"/>
          <w:color w:val="000000"/>
          <w:sz w:val="24"/>
          <w:szCs w:val="24"/>
        </w:rPr>
        <w:t>二维两杆桁架结构</w:t>
      </w:r>
    </w:p>
    <w:p w14:paraId="1268876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本算例为平面桁架结构，共设置三个节点、两个桁架单元，两个单元材料参数与截面参数完全一致。左侧两个节点全部固定，限制水平与竖直两个方向位移，在顶部公共节点施加水平方向集中载荷。</w:t>
      </w:r>
    </w:p>
    <w:p w14:paraId="06EACFC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完成有限元前处理与矩阵组装后，得到二维桁架结构总体刚度矩阵。引入固支边界条件求解节点位移，再结合单元方向余弦、几何长度、材料参数，计算得到各桁架单元的方向参数、应力与轴力。</w:t>
      </w:r>
    </w:p>
    <w:p w14:paraId="1CAE626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b w:val="0"/>
          <w:bCs w:val="0"/>
          <w:color w:val="000000"/>
          <w:kern w:val="0"/>
          <w:sz w:val="24"/>
          <w:szCs w:val="24"/>
          <w:lang w:val="en-US" w:eastAsia="zh-CN" w:bidi="ar"/>
        </w:rPr>
      </w:pPr>
      <w:r>
        <w:rPr>
          <w:rFonts w:hint="eastAsia" w:ascii="宋体" w:hAnsi="宋体" w:eastAsia="宋体" w:cs="宋体"/>
          <w:b w:val="0"/>
          <w:bCs w:val="0"/>
          <w:color w:val="000000"/>
          <w:kern w:val="0"/>
          <w:sz w:val="24"/>
          <w:szCs w:val="24"/>
          <w:lang w:val="en-US" w:eastAsia="zh-CN" w:bidi="ar"/>
        </w:rPr>
        <w:t>计算结果显示，两个桁架单元分别承受拉力与压力，单元内力相互配合，平衡外部水平载荷。固定节点处产生对应的水平与竖直约束反力，整体结构合力、合力矩均为零，满足静力学平衡条件。节点位移、单元内力结果与桁架结构力学解析解保持一致，证明二维桁架模块计算逻辑可靠。</w:t>
      </w:r>
    </w:p>
    <w:p w14:paraId="2BCE3FC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center"/>
        <w:rPr>
          <w:rFonts w:hint="eastAsia" w:ascii="宋体" w:hAnsi="宋体" w:eastAsia="宋体" w:cs="宋体"/>
          <w:b w:val="0"/>
          <w:bCs w:val="0"/>
          <w:color w:val="000000"/>
          <w:kern w:val="0"/>
          <w:sz w:val="24"/>
          <w:szCs w:val="24"/>
          <w:lang w:val="en-US" w:eastAsia="zh-CN" w:bidi="ar"/>
        </w:rPr>
      </w:pPr>
      <w:r>
        <w:rPr>
          <w:rFonts w:hint="eastAsia" w:ascii="宋体" w:hAnsi="宋体" w:eastAsia="宋体" w:cs="宋体"/>
          <w:b w:val="0"/>
          <w:bCs w:val="0"/>
          <w:color w:val="000000"/>
          <w:kern w:val="0"/>
          <w:sz w:val="24"/>
          <w:szCs w:val="24"/>
          <w:lang w:val="en-US" w:eastAsia="zh-CN" w:bidi="ar"/>
        </w:rPr>
        <w:drawing>
          <wp:inline distT="0" distB="0" distL="114300" distR="114300">
            <wp:extent cx="5269230" cy="3376295"/>
            <wp:effectExtent l="0" t="0" r="1270" b="1905"/>
            <wp:docPr id="3" name="图片 3" descr="屏幕截图 2026-06-15 104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屏幕截图 2026-06-15 104137"/>
                    <pic:cNvPicPr>
                      <a:picLocks noChangeAspect="1"/>
                    </pic:cNvPicPr>
                  </pic:nvPicPr>
                  <pic:blipFill>
                    <a:blip r:embed="rId5"/>
                    <a:stretch>
                      <a:fillRect/>
                    </a:stretch>
                  </pic:blipFill>
                  <pic:spPr>
                    <a:xfrm>
                      <a:off x="0" y="0"/>
                      <a:ext cx="5269230" cy="3376295"/>
                    </a:xfrm>
                    <a:prstGeom prst="rect">
                      <a:avLst/>
                    </a:prstGeom>
                  </pic:spPr>
                </pic:pic>
              </a:graphicData>
            </a:graphic>
          </wp:inline>
        </w:drawing>
      </w:r>
      <w:bookmarkStart w:id="0" w:name="_GoBack"/>
      <w:bookmarkEnd w:id="0"/>
    </w:p>
    <w:p w14:paraId="5093C45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center"/>
        <w:rPr>
          <w:rFonts w:hint="default" w:ascii="宋体" w:hAnsi="宋体" w:eastAsia="宋体" w:cs="宋体"/>
          <w:b w:val="0"/>
          <w:bCs w:val="0"/>
          <w:color w:val="000000"/>
          <w:sz w:val="24"/>
          <w:szCs w:val="24"/>
          <w:lang w:val="en-US" w:eastAsia="zh-CN"/>
        </w:rPr>
      </w:pPr>
      <w:r>
        <w:rPr>
          <w:rFonts w:hint="eastAsia" w:cs="宋体"/>
          <w:b w:val="0"/>
          <w:bCs w:val="0"/>
          <w:color w:val="000000"/>
          <w:sz w:val="24"/>
          <w:szCs w:val="24"/>
          <w:lang w:val="en-US" w:eastAsia="zh-CN"/>
        </w:rPr>
        <w:t>图2.算例2结果</w:t>
      </w:r>
    </w:p>
    <w:p w14:paraId="7091D00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eastAsia" w:ascii="宋体" w:hAnsi="宋体" w:eastAsia="宋体" w:cs="宋体"/>
          <w:b w:val="0"/>
          <w:bCs w:val="0"/>
          <w:color w:val="000000"/>
          <w:sz w:val="24"/>
          <w:szCs w:val="24"/>
        </w:rPr>
      </w:pPr>
      <w:r>
        <w:rPr>
          <w:rFonts w:hint="eastAsia" w:ascii="宋体" w:hAnsi="宋体" w:eastAsia="宋体" w:cs="宋体"/>
          <w:b w:val="0"/>
          <w:bCs w:val="0"/>
          <w:color w:val="000000"/>
          <w:sz w:val="28"/>
          <w:szCs w:val="28"/>
          <w:lang w:val="en-US" w:eastAsia="zh-CN"/>
        </w:rPr>
        <w:t>6</w:t>
      </w:r>
      <w:r>
        <w:rPr>
          <w:rFonts w:hint="eastAsia" w:ascii="宋体" w:hAnsi="宋体" w:eastAsia="宋体" w:cs="宋体"/>
          <w:b w:val="0"/>
          <w:bCs w:val="0"/>
          <w:color w:val="000000"/>
          <w:sz w:val="28"/>
          <w:szCs w:val="28"/>
        </w:rPr>
        <w:t>、总体刚度矩阵性质分析</w:t>
      </w:r>
    </w:p>
    <w:p w14:paraId="6B1AB6A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80" w:firstLineChars="20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结合两组算例计算结果，可总结出杆系、桁架结构总体刚度矩阵的多项典型力学与数学性质。</w:t>
      </w:r>
    </w:p>
    <w:p w14:paraId="212C06E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80" w:firstLineChars="20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第一，矩阵具备对称性。从理论层面分析，线弹性结构满足功的互等定理，单元刚度矩阵本身为对称矩阵，经过组装后得到的总体刚度矩阵同样保持对称特性。利用这一性质，工程计算中可采用三角存储方式，减少矩阵内存占用，降低运算量。</w:t>
      </w:r>
    </w:p>
    <w:p w14:paraId="6AB1B51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80" w:firstLineChars="20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第二，未施加边界条件的矩阵具有奇异性。杆与桁架结构可发生整体平移、转动等刚体位移，该类位移不会使结构产生应变与内力，对应刚度矩阵存在零特征值，矩阵行列式为零，无法直接求逆。施加位移约束、限制刚体位移后，修正得到的分块刚度矩阵变为正定矩阵，方程可正常求解。</w:t>
      </w:r>
    </w:p>
    <w:p w14:paraId="35C21D2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80" w:firstLineChars="20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第三，矩阵具备稀疏性。结构中每个单元仅连接少量节点，因此总体刚度矩阵中绝大部分元素数值为零，仅在对应单元节点自由度的位置存在非零元素。结构规模越大，矩阵稀疏特征越明显，大型有限元计算中普遍利用稀疏矩阵技术优化存储与求解效率。</w:t>
      </w:r>
    </w:p>
    <w:p w14:paraId="48BCD7D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80" w:firstLineChars="20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第四，矩阵对角元均为非负值。刚度矩阵对角元的物理含义为：对应自由度产生单位位移、其余自由度全部固定时，该自由度上所需施加的外力。基于线弹性材料的受力变形规律，力与位移方向保持一致，因此对角元恒大于等于零。</w:t>
      </w:r>
    </w:p>
    <w:p w14:paraId="554EC1C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eastAsia" w:ascii="宋体" w:hAnsi="宋体" w:eastAsia="宋体" w:cs="宋体"/>
          <w:b w:val="0"/>
          <w:bCs w:val="0"/>
          <w:color w:val="000000"/>
          <w:sz w:val="24"/>
          <w:szCs w:val="24"/>
        </w:rPr>
      </w:pPr>
      <w:r>
        <w:rPr>
          <w:rFonts w:hint="eastAsia" w:ascii="宋体" w:hAnsi="宋体" w:eastAsia="宋体" w:cs="宋体"/>
          <w:b w:val="0"/>
          <w:bCs w:val="0"/>
          <w:color w:val="000000"/>
          <w:sz w:val="28"/>
          <w:szCs w:val="28"/>
          <w:lang w:val="en-US" w:eastAsia="zh-CN"/>
        </w:rPr>
        <w:t>7</w:t>
      </w:r>
      <w:r>
        <w:rPr>
          <w:rFonts w:hint="eastAsia" w:ascii="宋体" w:hAnsi="宋体" w:eastAsia="宋体" w:cs="宋体"/>
          <w:b w:val="0"/>
          <w:bCs w:val="0"/>
          <w:color w:val="000000"/>
          <w:sz w:val="28"/>
          <w:szCs w:val="28"/>
        </w:rPr>
        <w:t>、总体刚度矩阵列向量的物理意义</w:t>
      </w:r>
    </w:p>
    <w:p w14:paraId="5868E70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80" w:firstLineChars="20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总体刚度矩阵每一列都具备明确的物理含义。将刚度方程</w:t>
      </w:r>
      <m:oMath>
        <m:r>
          <m:rPr>
            <m:sty m:val="p"/>
          </m:rPr>
          <w:rPr>
            <w:rFonts w:hint="eastAsia" w:ascii="Cambria Math" w:hAnsi="Cambria Math" w:eastAsia="宋体" w:cs="宋体"/>
            <w:color w:val="000000"/>
            <w:kern w:val="0"/>
            <w:sz w:val="24"/>
            <w:szCs w:val="24"/>
            <w:lang w:val="en-US" w:eastAsia="zh-CN" w:bidi="ar"/>
          </w:rPr>
          <m:t>Kd=F</m:t>
        </m:r>
      </m:oMath>
      <w:r>
        <w:rPr>
          <w:rFonts w:hint="eastAsia" w:ascii="宋体" w:hAnsi="宋体" w:eastAsia="宋体" w:cs="宋体"/>
          <w:b w:val="0"/>
          <w:bCs w:val="0"/>
          <w:color w:val="000000"/>
          <w:kern w:val="0"/>
          <w:sz w:val="24"/>
          <w:szCs w:val="24"/>
          <w:lang w:val="en-US" w:eastAsia="zh-CN" w:bidi="ar"/>
        </w:rPr>
        <w:t>结合位移边界假设分析，若令结构第 j 个自由度产生单位位移，其余所有自由度全部固定、位移为零，此时结构对应的节点载荷向量，就等于总体刚度矩阵的第 j 列。</w:t>
      </w:r>
    </w:p>
    <w:p w14:paraId="452560F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矩阵内元素</w:t>
      </w:r>
      <m:oMath>
        <m:sSub>
          <m:sSubPr>
            <m:ctrlPr>
              <w:rPr>
                <w:rFonts w:hint="eastAsia" w:ascii="Cambria Math" w:hAnsi="Cambria Math" w:eastAsia="宋体" w:cs="宋体"/>
                <w:bCs w:val="0"/>
                <w:i/>
                <w:color w:val="000000"/>
                <w:kern w:val="0"/>
                <w:sz w:val="24"/>
                <w:szCs w:val="24"/>
                <w:lang w:val="en-US" w:bidi="ar"/>
              </w:rPr>
            </m:ctrlPr>
          </m:sSubPr>
          <m:e>
            <m:r>
              <m:rPr/>
              <w:rPr>
                <w:rFonts w:hint="eastAsia" w:ascii="Cambria Math" w:hAnsi="Cambria Math" w:eastAsia="宋体" w:cs="宋体"/>
                <w:color w:val="000000"/>
                <w:kern w:val="0"/>
                <w:sz w:val="24"/>
                <w:szCs w:val="24"/>
                <w:lang w:val="en-US" w:eastAsia="zh-CN" w:bidi="ar"/>
              </w:rPr>
              <m:t>K</m:t>
            </m:r>
            <m:ctrlPr>
              <w:rPr>
                <w:rFonts w:hint="eastAsia" w:ascii="Cambria Math" w:hAnsi="Cambria Math" w:eastAsia="宋体" w:cs="宋体"/>
                <w:bCs w:val="0"/>
                <w:i/>
                <w:color w:val="000000"/>
                <w:kern w:val="0"/>
                <w:sz w:val="24"/>
                <w:szCs w:val="24"/>
                <w:lang w:val="en-US" w:bidi="ar"/>
              </w:rPr>
            </m:ctrlPr>
          </m:e>
          <m:sub>
            <m:r>
              <m:rPr/>
              <w:rPr>
                <w:rFonts w:hint="eastAsia" w:ascii="Cambria Math" w:hAnsi="Cambria Math" w:eastAsia="宋体" w:cs="宋体"/>
                <w:color w:val="000000"/>
                <w:kern w:val="0"/>
                <w:sz w:val="24"/>
                <w:szCs w:val="24"/>
                <w:lang w:val="en-US" w:eastAsia="zh-CN" w:bidi="ar"/>
              </w:rPr>
              <m:t>ij</m:t>
            </m:r>
            <m:ctrlPr>
              <w:rPr>
                <w:rFonts w:hint="eastAsia" w:ascii="Cambria Math" w:hAnsi="Cambria Math" w:eastAsia="宋体" w:cs="宋体"/>
                <w:bCs w:val="0"/>
                <w:i/>
                <w:color w:val="000000"/>
                <w:kern w:val="0"/>
                <w:sz w:val="24"/>
                <w:szCs w:val="24"/>
                <w:lang w:val="en-US" w:bidi="ar"/>
              </w:rPr>
            </m:ctrlPr>
          </m:sub>
        </m:sSub>
      </m:oMath>
      <w:r>
        <w:rPr>
          <w:rFonts w:hint="eastAsia" w:ascii="宋体" w:hAnsi="宋体" w:eastAsia="宋体" w:cs="宋体"/>
          <w:b w:val="0"/>
          <w:bCs w:val="0"/>
          <w:color w:val="000000"/>
          <w:kern w:val="0"/>
          <w:sz w:val="24"/>
          <w:szCs w:val="24"/>
          <w:lang w:val="en-US" w:eastAsia="zh-CN" w:bidi="ar"/>
        </w:rPr>
        <w:t>代表仅在第 j 个自由度施加单位位移时，第 i 个自由度上产生的节点作用力。其中对角元素代表对应自由度自身的刚度大小，非对角元素代表不同自由度之间的力学耦合作用。该物理意义是理解结构刚度特性、开展静力凝聚、子结构分析等进阶有限元计算的理论基础。</w:t>
      </w:r>
    </w:p>
    <w:p w14:paraId="3B9993B9">
      <w:pPr>
        <w:keepNext w:val="0"/>
        <w:keepLines w:val="0"/>
        <w:pageBreakBefore w:val="0"/>
        <w:kinsoku/>
        <w:wordWrap/>
        <w:overflowPunct/>
        <w:topLinePunct w:val="0"/>
        <w:autoSpaceDE/>
        <w:autoSpaceDN/>
        <w:bidi w:val="0"/>
        <w:adjustRightInd/>
        <w:snapToGrid/>
        <w:jc w:val="left"/>
        <w:textAlignment w:val="auto"/>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S Mincho">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B4428E9"/>
    <w:rsid w:val="5D8758C3"/>
    <w:rsid w:val="69E11B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6">
    <w:name w:val="Strong"/>
    <w:basedOn w:val="5"/>
    <w:qFormat/>
    <w:uiPriority w:val="0"/>
    <w:rPr>
      <w:b/>
    </w:rPr>
  </w:style>
  <w:style w:type="character" w:styleId="7">
    <w:name w:val="HTML Code"/>
    <w:basedOn w:val="5"/>
    <w:uiPriority w:val="0"/>
    <w:rPr>
      <w:rFonts w:ascii="Courier New" w:hAnsi="Courier New"/>
      <w:sz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2984</Words>
  <Characters>3013</Characters>
  <Lines>0</Lines>
  <Paragraphs>0</Paragraphs>
  <TotalTime>49</TotalTime>
  <ScaleCrop>false</ScaleCrop>
  <LinksUpToDate>false</LinksUpToDate>
  <CharactersWithSpaces>3032</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2026-06-15T00:25:00Z</dcterms:created>
  <dc:creator>PC</dc:creator>
  <cp:lastModifiedBy>无名绅士O(∩_∩)O</cp:lastModifiedBy>
  <dcterms:modified xsi:type="dcterms:W3CDTF">2026-06-15T05:34:55Z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eyJoZGlkIjoiMDEyMTRmNThiZjcwNTRmMWFjOGE1MTBiN2EwZmFlNzgiLCJ1c2VySWQiOiIxNTIyODExNzI5In0=</vt:lpwstr>
  </property>
  <property fmtid="{D5CDD505-2E9C-101B-9397-08002B2CF9AE}" pid="4" name="ICV">
    <vt:lpwstr>49F4387EFAB548D5B89BC87F246A0DBB_12</vt:lpwstr>
  </property>
</Properties>
</file>