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442EC" w14:textId="77777777" w:rsidR="000F0995" w:rsidRPr="00184646" w:rsidRDefault="000F0995" w:rsidP="000F0995">
      <w:pPr>
        <w:jc w:val="center"/>
        <w:rPr>
          <w:sz w:val="40"/>
        </w:rPr>
      </w:pPr>
      <w:r w:rsidRPr="00184646">
        <w:rPr>
          <w:strike/>
          <w:sz w:val="40"/>
        </w:rPr>
        <w:t>DNA</w:t>
      </w:r>
      <w:r w:rsidRPr="00184646">
        <w:rPr>
          <w:sz w:val="40"/>
        </w:rPr>
        <w:t xml:space="preserve"> URL Next Generation Sequencing</w:t>
      </w:r>
    </w:p>
    <w:p w14:paraId="11D52976" w14:textId="6DA83445" w:rsidR="000F0995" w:rsidRDefault="000F0995" w:rsidP="000F0995">
      <w:pPr>
        <w:jc w:val="center"/>
        <w:rPr>
          <w:strike/>
          <w:sz w:val="40"/>
        </w:rPr>
      </w:pPr>
      <w:r w:rsidRPr="00184646">
        <w:rPr>
          <w:b/>
        </w:rPr>
        <w:t>Juan Acosta</w:t>
      </w:r>
    </w:p>
    <w:p w14:paraId="57FDADB5" w14:textId="2C7EA6E3" w:rsidR="00184646" w:rsidRPr="00161F71" w:rsidRDefault="00161F71" w:rsidP="00184646">
      <w:pPr>
        <w:jc w:val="center"/>
        <w:rPr>
          <w:sz w:val="24"/>
        </w:rPr>
      </w:pPr>
      <w:r w:rsidRPr="00161F71">
        <w:rPr>
          <w:sz w:val="24"/>
        </w:rPr>
        <w:t>Abstract</w:t>
      </w:r>
    </w:p>
    <w:p w14:paraId="4DBE052D" w14:textId="649FE3E5" w:rsidR="00893A42" w:rsidRDefault="00893A42" w:rsidP="00161F71">
      <w:pPr>
        <w:rPr>
          <w:sz w:val="20"/>
        </w:rPr>
      </w:pPr>
      <w:r w:rsidRPr="00893A42">
        <w:rPr>
          <w:sz w:val="20"/>
        </w:rPr>
        <w:t xml:space="preserve">Background: </w:t>
      </w:r>
    </w:p>
    <w:p w14:paraId="03035A8F" w14:textId="7910E481" w:rsidR="00893A42" w:rsidRDefault="00893A42" w:rsidP="003764EC">
      <w:pPr>
        <w:ind w:left="720"/>
        <w:rPr>
          <w:sz w:val="20"/>
        </w:rPr>
      </w:pPr>
      <w:r>
        <w:rPr>
          <w:sz w:val="20"/>
        </w:rPr>
        <w:t>DNA Next Generation sequencing (NGS) or high-throughput sequencing is a term utilized to describe different DNA sequencing methods such as Illumina, Roche 454, and SOLiD, among other</w:t>
      </w:r>
      <w:r w:rsidR="000F0995">
        <w:rPr>
          <w:sz w:val="20"/>
        </w:rPr>
        <w:t>s</w:t>
      </w:r>
      <w:r>
        <w:rPr>
          <w:sz w:val="20"/>
        </w:rPr>
        <w:t>. These methods are used to determine the exact sequence of the four basic proteins (adenine, guanine, cytosine, and thymine) in DNA and RNA strands.</w:t>
      </w:r>
      <w:r w:rsidR="003764EC">
        <w:rPr>
          <w:sz w:val="20"/>
        </w:rPr>
        <w:t xml:space="preserve"> Moreover, it can also be used to track mutation</w:t>
      </w:r>
      <w:r w:rsidR="000F0995">
        <w:rPr>
          <w:sz w:val="20"/>
        </w:rPr>
        <w:t>s</w:t>
      </w:r>
      <w:r w:rsidR="003764EC">
        <w:rPr>
          <w:sz w:val="20"/>
        </w:rPr>
        <w:t xml:space="preserve"> such as those of Salmonella-K and other pathogens. </w:t>
      </w:r>
    </w:p>
    <w:p w14:paraId="020A2A78" w14:textId="3E97CB79" w:rsidR="00893A42" w:rsidRDefault="003764EC" w:rsidP="003764EC">
      <w:pPr>
        <w:ind w:left="720"/>
        <w:rPr>
          <w:sz w:val="20"/>
        </w:rPr>
      </w:pPr>
      <w:r>
        <w:rPr>
          <w:sz w:val="20"/>
        </w:rPr>
        <w:t>The Hierarchical Dirichlet Process</w:t>
      </w:r>
      <w:r w:rsidR="00D72CB6">
        <w:rPr>
          <w:sz w:val="20"/>
        </w:rPr>
        <w:t xml:space="preserve"> (HDP)</w:t>
      </w:r>
      <w:r>
        <w:rPr>
          <w:sz w:val="20"/>
        </w:rPr>
        <w:t xml:space="preserve"> is a nonparametric Bayesian method for clustering data</w:t>
      </w:r>
      <w:r w:rsidR="000F0995">
        <w:rPr>
          <w:sz w:val="20"/>
        </w:rPr>
        <w:t>,</w:t>
      </w:r>
      <w:r>
        <w:rPr>
          <w:sz w:val="20"/>
        </w:rPr>
        <w:t xml:space="preserve"> which is widely used in machine learning and probabilistic topic modelling. This unsupervised analysis of grouped data can b</w:t>
      </w:r>
      <w:r w:rsidR="000F0995">
        <w:rPr>
          <w:sz w:val="20"/>
        </w:rPr>
        <w:t>e modified to become streamable</w:t>
      </w:r>
      <w:r>
        <w:rPr>
          <w:sz w:val="20"/>
        </w:rPr>
        <w:t xml:space="preserve"> and effectively eliminate the need for multiple passes through the data </w:t>
      </w:r>
      <w:r w:rsidR="000F0995">
        <w:rPr>
          <w:sz w:val="20"/>
        </w:rPr>
        <w:t>while</w:t>
      </w:r>
      <w:r>
        <w:rPr>
          <w:sz w:val="20"/>
        </w:rPr>
        <w:t xml:space="preserve"> optimizing the infe</w:t>
      </w:r>
      <w:r w:rsidR="000F0995">
        <w:rPr>
          <w:sz w:val="20"/>
        </w:rPr>
        <w:t>rence algorithm to produce real-</w:t>
      </w:r>
      <w:r>
        <w:rPr>
          <w:sz w:val="20"/>
        </w:rPr>
        <w:t>time predictions on massive and streaming data.</w:t>
      </w:r>
    </w:p>
    <w:p w14:paraId="5A91F2F8" w14:textId="77777777" w:rsidR="003764EC" w:rsidRDefault="003764EC" w:rsidP="00161F71">
      <w:pPr>
        <w:rPr>
          <w:sz w:val="20"/>
        </w:rPr>
      </w:pPr>
    </w:p>
    <w:p w14:paraId="461B108A" w14:textId="15E5B0EE" w:rsidR="003764EC" w:rsidRDefault="00893A42" w:rsidP="00161F71">
      <w:pPr>
        <w:rPr>
          <w:sz w:val="20"/>
        </w:rPr>
      </w:pPr>
      <w:r w:rsidRPr="00893A42">
        <w:rPr>
          <w:sz w:val="20"/>
        </w:rPr>
        <w:t>Methods:</w:t>
      </w:r>
    </w:p>
    <w:p w14:paraId="27C15C1A" w14:textId="7D882B0F" w:rsidR="003764EC" w:rsidRDefault="003764EC" w:rsidP="00C02046">
      <w:pPr>
        <w:ind w:left="720"/>
        <w:rPr>
          <w:sz w:val="20"/>
        </w:rPr>
      </w:pPr>
      <w:r>
        <w:rPr>
          <w:sz w:val="20"/>
        </w:rPr>
        <w:t>I propose an innovative approach</w:t>
      </w:r>
      <w:r w:rsidR="00AC64B9">
        <w:rPr>
          <w:sz w:val="20"/>
        </w:rPr>
        <w:t xml:space="preserve"> to preprocess URL’s</w:t>
      </w:r>
      <w:r w:rsidR="00876831">
        <w:rPr>
          <w:sz w:val="20"/>
        </w:rPr>
        <w:t xml:space="preserve"> with DNA NGS techniques and an online variation of the HDP</w:t>
      </w:r>
      <w:r w:rsidR="00AC64B9">
        <w:rPr>
          <w:sz w:val="20"/>
        </w:rPr>
        <w:t xml:space="preserve"> to predict domain sub</w:t>
      </w:r>
      <w:r w:rsidR="000F0995">
        <w:rPr>
          <w:sz w:val="20"/>
        </w:rPr>
        <w:t>-</w:t>
      </w:r>
      <w:r w:rsidR="00AC64B9">
        <w:rPr>
          <w:sz w:val="20"/>
        </w:rPr>
        <w:t>resource permanence through multiple visits to the same website</w:t>
      </w:r>
      <w:r w:rsidR="00D72CB6">
        <w:rPr>
          <w:sz w:val="20"/>
        </w:rPr>
        <w:t xml:space="preserve">. The process consists of </w:t>
      </w:r>
      <w:r w:rsidR="000F0995">
        <w:rPr>
          <w:sz w:val="20"/>
        </w:rPr>
        <w:t>5</w:t>
      </w:r>
      <w:r w:rsidR="00D72CB6">
        <w:rPr>
          <w:sz w:val="20"/>
        </w:rPr>
        <w:t xml:space="preserve"> steps: </w:t>
      </w:r>
      <w:r w:rsidR="000F0995">
        <w:rPr>
          <w:sz w:val="20"/>
        </w:rPr>
        <w:t>b</w:t>
      </w:r>
      <w:r w:rsidR="00D72CB6">
        <w:rPr>
          <w:sz w:val="20"/>
        </w:rPr>
        <w:t>rowser u</w:t>
      </w:r>
      <w:r w:rsidR="00AC64B9">
        <w:rPr>
          <w:sz w:val="20"/>
        </w:rPr>
        <w:t>ser data</w:t>
      </w:r>
      <w:r w:rsidR="000F0995">
        <w:rPr>
          <w:sz w:val="20"/>
        </w:rPr>
        <w:t xml:space="preserve"> collection</w:t>
      </w:r>
      <w:r w:rsidR="00AC64B9">
        <w:rPr>
          <w:sz w:val="20"/>
        </w:rPr>
        <w:t>, hashing and encryption of U</w:t>
      </w:r>
      <w:r w:rsidR="000F0995">
        <w:rPr>
          <w:sz w:val="20"/>
        </w:rPr>
        <w:t>RL</w:t>
      </w:r>
      <w:r w:rsidR="00AC64B9">
        <w:rPr>
          <w:sz w:val="20"/>
        </w:rPr>
        <w:t>’s to eliminate</w:t>
      </w:r>
      <w:r w:rsidR="00D72CB6">
        <w:rPr>
          <w:sz w:val="20"/>
        </w:rPr>
        <w:t xml:space="preserve"> personal</w:t>
      </w:r>
      <w:r w:rsidR="00AC64B9">
        <w:rPr>
          <w:sz w:val="20"/>
        </w:rPr>
        <w:t>ly identifiable information, deconstruction of the</w:t>
      </w:r>
      <w:r w:rsidR="00D72CB6">
        <w:rPr>
          <w:sz w:val="20"/>
        </w:rPr>
        <w:t xml:space="preserve"> URL structure into basic components</w:t>
      </w:r>
      <w:r w:rsidR="00AC64B9">
        <w:rPr>
          <w:sz w:val="20"/>
        </w:rPr>
        <w:t xml:space="preserve"> </w:t>
      </w:r>
      <w:r w:rsidR="000F0995">
        <w:rPr>
          <w:sz w:val="20"/>
        </w:rPr>
        <w:t>like</w:t>
      </w:r>
      <w:r w:rsidR="00AC64B9">
        <w:rPr>
          <w:sz w:val="20"/>
        </w:rPr>
        <w:t xml:space="preserve"> those of DNA</w:t>
      </w:r>
      <w:r w:rsidR="00D72CB6">
        <w:rPr>
          <w:sz w:val="20"/>
        </w:rPr>
        <w:t xml:space="preserve">, </w:t>
      </w:r>
      <w:r w:rsidR="00AC64B9">
        <w:rPr>
          <w:sz w:val="20"/>
        </w:rPr>
        <w:t>application of the online variation of HDP on the deconstructed URL’s, and finally a visual analysis of the topic allocation to the different domains</w:t>
      </w:r>
      <w:r w:rsidR="000F0995">
        <w:rPr>
          <w:sz w:val="20"/>
        </w:rPr>
        <w:t xml:space="preserve"> </w:t>
      </w:r>
      <w:r w:rsidR="00AC64B9">
        <w:rPr>
          <w:sz w:val="20"/>
        </w:rPr>
        <w:t>and domain sub</w:t>
      </w:r>
      <w:r w:rsidR="000F0995">
        <w:rPr>
          <w:sz w:val="20"/>
        </w:rPr>
        <w:t>-</w:t>
      </w:r>
      <w:r w:rsidR="00AC64B9">
        <w:rPr>
          <w:sz w:val="20"/>
        </w:rPr>
        <w:t>resources. The browser data used was obtained from both bots and real users of the Sparrow browser (ViaSat) as a proof of concept that the</w:t>
      </w:r>
      <w:r w:rsidR="00C02046">
        <w:rPr>
          <w:sz w:val="20"/>
        </w:rPr>
        <w:t xml:space="preserve"> basic distribution of</w:t>
      </w:r>
      <w:r w:rsidR="00AC64B9">
        <w:rPr>
          <w:sz w:val="20"/>
        </w:rPr>
        <w:t xml:space="preserve"> domain sub</w:t>
      </w:r>
      <w:r w:rsidR="000F0995">
        <w:rPr>
          <w:sz w:val="20"/>
        </w:rPr>
        <w:t>-</w:t>
      </w:r>
      <w:r w:rsidR="00AC64B9">
        <w:rPr>
          <w:sz w:val="20"/>
        </w:rPr>
        <w:t>resources</w:t>
      </w:r>
      <w:r w:rsidR="00C02046">
        <w:rPr>
          <w:sz w:val="20"/>
        </w:rPr>
        <w:t xml:space="preserve"> </w:t>
      </w:r>
      <w:r w:rsidR="000F0995">
        <w:rPr>
          <w:sz w:val="20"/>
        </w:rPr>
        <w:t>through</w:t>
      </w:r>
      <w:r w:rsidR="00C02046">
        <w:rPr>
          <w:sz w:val="20"/>
        </w:rPr>
        <w:t xml:space="preserve"> multiple visits of the same domain</w:t>
      </w:r>
      <w:r w:rsidR="00AC64B9">
        <w:rPr>
          <w:sz w:val="20"/>
        </w:rPr>
        <w:t xml:space="preserve"> is </w:t>
      </w:r>
      <w:r w:rsidR="00C02046">
        <w:rPr>
          <w:sz w:val="20"/>
        </w:rPr>
        <w:t xml:space="preserve">sufficiently like that of DNA protein chains in multiple </w:t>
      </w:r>
      <w:r w:rsidR="000F0995">
        <w:rPr>
          <w:sz w:val="20"/>
        </w:rPr>
        <w:t>generations of a single species</w:t>
      </w:r>
      <w:r w:rsidR="00C02046">
        <w:rPr>
          <w:sz w:val="20"/>
        </w:rPr>
        <w:t xml:space="preserve"> and </w:t>
      </w:r>
      <w:r w:rsidR="000F0995">
        <w:rPr>
          <w:sz w:val="20"/>
        </w:rPr>
        <w:t>the distribution</w:t>
      </w:r>
      <w:r w:rsidR="00C02046">
        <w:rPr>
          <w:sz w:val="20"/>
        </w:rPr>
        <w:t xml:space="preserve"> of domains to </w:t>
      </w:r>
      <w:r w:rsidR="000F0995">
        <w:rPr>
          <w:sz w:val="20"/>
        </w:rPr>
        <w:t>that</w:t>
      </w:r>
      <w:r w:rsidR="00C02046">
        <w:rPr>
          <w:sz w:val="20"/>
        </w:rPr>
        <w:t xml:space="preserve"> of DNA basic structures across species. Finally, the topic distribution across domains </w:t>
      </w:r>
      <w:r w:rsidR="000F0995">
        <w:rPr>
          <w:sz w:val="20"/>
        </w:rPr>
        <w:t>was</w:t>
      </w:r>
      <w:r w:rsidR="00C02046">
        <w:rPr>
          <w:sz w:val="20"/>
        </w:rPr>
        <w:t xml:space="preserve"> graphically displayed for easier pattern recognition and result analysis.</w:t>
      </w:r>
    </w:p>
    <w:p w14:paraId="75D239EB" w14:textId="77777777" w:rsidR="00C02046" w:rsidRDefault="00C02046" w:rsidP="00161F71">
      <w:pPr>
        <w:rPr>
          <w:sz w:val="20"/>
        </w:rPr>
      </w:pPr>
    </w:p>
    <w:p w14:paraId="5E3734B4" w14:textId="77777777" w:rsidR="00C02046" w:rsidRDefault="00893A42" w:rsidP="00161F71">
      <w:pPr>
        <w:rPr>
          <w:sz w:val="20"/>
        </w:rPr>
      </w:pPr>
      <w:r w:rsidRPr="00893A42">
        <w:rPr>
          <w:sz w:val="20"/>
        </w:rPr>
        <w:t xml:space="preserve">Results: </w:t>
      </w:r>
    </w:p>
    <w:p w14:paraId="6ACBAAE2" w14:textId="1A34134D" w:rsidR="00C02046" w:rsidRDefault="00C02046" w:rsidP="00E5660C">
      <w:pPr>
        <w:ind w:left="720"/>
        <w:rPr>
          <w:sz w:val="20"/>
        </w:rPr>
      </w:pPr>
      <w:r>
        <w:rPr>
          <w:sz w:val="20"/>
        </w:rPr>
        <w:t>The output graphs displayed patterns on the topic allocation from the HDP, managing to differentiate between different types of sub</w:t>
      </w:r>
      <w:r w:rsidR="000F0995">
        <w:rPr>
          <w:sz w:val="20"/>
        </w:rPr>
        <w:t>-</w:t>
      </w:r>
      <w:r>
        <w:rPr>
          <w:sz w:val="20"/>
        </w:rPr>
        <w:t xml:space="preserve">resources under a specific domain. Furthermore, the topic modelling across different domains </w:t>
      </w:r>
      <w:r w:rsidR="00E5660C">
        <w:rPr>
          <w:sz w:val="20"/>
        </w:rPr>
        <w:t>with similar sub</w:t>
      </w:r>
      <w:r w:rsidR="000F0995">
        <w:rPr>
          <w:sz w:val="20"/>
        </w:rPr>
        <w:t>-</w:t>
      </w:r>
      <w:r w:rsidR="00E5660C">
        <w:rPr>
          <w:sz w:val="20"/>
        </w:rPr>
        <w:t>resource permanence behavior displayed similar topic allocations.</w:t>
      </w:r>
    </w:p>
    <w:p w14:paraId="7A0BD7A8" w14:textId="77777777" w:rsidR="00E5660C" w:rsidRDefault="00E5660C" w:rsidP="00161F71">
      <w:pPr>
        <w:rPr>
          <w:sz w:val="20"/>
        </w:rPr>
      </w:pPr>
      <w:r>
        <w:rPr>
          <w:sz w:val="20"/>
        </w:rPr>
        <w:t>Conclusion:</w:t>
      </w:r>
    </w:p>
    <w:p w14:paraId="369B7F88" w14:textId="6A82790F" w:rsidR="002A6F30" w:rsidRDefault="00E5660C" w:rsidP="00565E46">
      <w:pPr>
        <w:ind w:left="720"/>
        <w:rPr>
          <w:sz w:val="20"/>
        </w:rPr>
      </w:pPr>
      <w:r>
        <w:rPr>
          <w:sz w:val="20"/>
        </w:rPr>
        <w:t>The use of DNA NG</w:t>
      </w:r>
      <w:r w:rsidR="00565E46">
        <w:rPr>
          <w:sz w:val="20"/>
        </w:rPr>
        <w:t>S techniques and the</w:t>
      </w:r>
      <w:r>
        <w:rPr>
          <w:sz w:val="20"/>
        </w:rPr>
        <w:t xml:space="preserve"> online variation of the HDP could provide for a better method to predict sub</w:t>
      </w:r>
      <w:r w:rsidR="000F0995">
        <w:rPr>
          <w:sz w:val="20"/>
        </w:rPr>
        <w:t>-</w:t>
      </w:r>
      <w:r>
        <w:rPr>
          <w:sz w:val="20"/>
        </w:rPr>
        <w:t xml:space="preserve">resource behavior among the vastly different techniques </w:t>
      </w:r>
      <w:r w:rsidR="00565E46">
        <w:rPr>
          <w:sz w:val="20"/>
        </w:rPr>
        <w:t>impleme</w:t>
      </w:r>
      <w:r w:rsidR="00F3597B">
        <w:rPr>
          <w:sz w:val="20"/>
        </w:rPr>
        <w:t>nted across different websites and in my opinion merits further exploration. This</w:t>
      </w:r>
      <w:r w:rsidR="00565E46">
        <w:rPr>
          <w:sz w:val="20"/>
        </w:rPr>
        <w:t xml:space="preserve"> could prove to be crucial in the world wide and out of world implementation of </w:t>
      </w:r>
      <w:r w:rsidR="000F0995">
        <w:rPr>
          <w:sz w:val="20"/>
        </w:rPr>
        <w:t>faster satellite internet.</w:t>
      </w:r>
    </w:p>
    <w:p w14:paraId="56A7A8EE" w14:textId="77777777" w:rsidR="002A6F30" w:rsidRDefault="002A6F30">
      <w:pPr>
        <w:rPr>
          <w:sz w:val="20"/>
        </w:rPr>
      </w:pPr>
      <w:r>
        <w:rPr>
          <w:sz w:val="20"/>
        </w:rPr>
        <w:br w:type="page"/>
      </w:r>
    </w:p>
    <w:p w14:paraId="31425F46" w14:textId="69945274" w:rsidR="002A6F30" w:rsidRPr="00161F71" w:rsidRDefault="002A6F30" w:rsidP="002A6F30">
      <w:pPr>
        <w:jc w:val="center"/>
        <w:rPr>
          <w:sz w:val="24"/>
        </w:rPr>
      </w:pPr>
      <w:r>
        <w:rPr>
          <w:sz w:val="24"/>
        </w:rPr>
        <w:lastRenderedPageBreak/>
        <w:t>Appendix</w:t>
      </w:r>
    </w:p>
    <w:p w14:paraId="1F9F00A9" w14:textId="7B09A54A" w:rsidR="00C37459" w:rsidRDefault="002A6F30" w:rsidP="00565E46">
      <w:pPr>
        <w:ind w:left="720"/>
        <w:rPr>
          <w:sz w:val="20"/>
        </w:rPr>
      </w:pPr>
      <w:r>
        <w:rPr>
          <w:noProof/>
          <w:sz w:val="20"/>
        </w:rPr>
        <w:drawing>
          <wp:inline distT="0" distB="0" distL="0" distR="0" wp14:anchorId="5A204431" wp14:editId="1D29887D">
            <wp:extent cx="5937885" cy="4910455"/>
            <wp:effectExtent l="0" t="0" r="5715" b="4445"/>
            <wp:docPr id="1" name="Picture 1" descr="C:\Users\Leonhard\AppData\Local\Microsoft\Windows\INetCache\Content.Word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nhard\AppData\Local\Microsoft\Windows\INetCache\Content.Word\Figure_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1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 wp14:anchorId="367F59CA" wp14:editId="5772C3B3">
            <wp:extent cx="5943600" cy="2351405"/>
            <wp:effectExtent l="0" t="0" r="0" b="0"/>
            <wp:docPr id="2" name="Picture 2" descr="C:\Users\Leonhard\AppData\Local\Microsoft\Windows\INetCache\Content.Word\plot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nhard\AppData\Local\Microsoft\Windows\INetCache\Content.Word\plot copy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lastRenderedPageBreak/>
        <w:drawing>
          <wp:inline distT="0" distB="0" distL="0" distR="0" wp14:anchorId="1DD2708E" wp14:editId="21D642C0">
            <wp:extent cx="5854700" cy="4387850"/>
            <wp:effectExtent l="0" t="0" r="0" b="0"/>
            <wp:docPr id="3" name="Picture 3" descr="C:\Users\Leonhard\AppData\Local\Microsoft\Windows\INetCache\Content.Word\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nhard\AppData\Local\Microsoft\Windows\INetCache\Content.Word\plo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lastRenderedPageBreak/>
        <w:drawing>
          <wp:inline distT="0" distB="0" distL="0" distR="0" wp14:anchorId="7BFE950E" wp14:editId="5FE4841F">
            <wp:extent cx="5854700" cy="4387850"/>
            <wp:effectExtent l="0" t="0" r="0" b="0"/>
            <wp:docPr id="4" name="Picture 4" descr="C:\Users\Leonhard\AppData\Local\Microsoft\Windows\INetCache\Content.Word\pl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onhard\AppData\Local\Microsoft\Windows\INetCache\Content.Word\plot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 wp14:anchorId="30EA63FF" wp14:editId="0137E2A7">
            <wp:extent cx="5943600" cy="3021965"/>
            <wp:effectExtent l="0" t="0" r="0" b="6985"/>
            <wp:docPr id="5" name="Picture 5" descr="C:\Users\Leonhard\AppData\Local\Microsoft\Windows\INetCache\Content.Word\Screen Shot 2017-08-17 at 6.42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nhard\AppData\Local\Microsoft\Windows\INetCache\Content.Word\Screen Shot 2017-08-17 at 6.42.01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lastRenderedPageBreak/>
        <w:drawing>
          <wp:inline distT="0" distB="0" distL="0" distR="0" wp14:anchorId="35BBC4E3" wp14:editId="5F017CA0">
            <wp:extent cx="5943600" cy="3710940"/>
            <wp:effectExtent l="0" t="0" r="0" b="3810"/>
            <wp:docPr id="6" name="Picture 6" descr="C:\Users\Leonhard\AppData\Local\Microsoft\Windows\INetCache\Content.Word\Screen Shot 2017-08-17 at 7.12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nhard\AppData\Local\Microsoft\Windows\INetCache\Content.Word\Screen Shot 2017-08-17 at 7.12.19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 wp14:anchorId="5732E4E2" wp14:editId="775FF89A">
            <wp:extent cx="5943600" cy="3710940"/>
            <wp:effectExtent l="0" t="0" r="0" b="3810"/>
            <wp:docPr id="7" name="Picture 7" descr="C:\Users\Leonhard\AppData\Local\Microsoft\Windows\INetCache\Content.Word\Screen Shot 2017-08-17 at 7.20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nhard\AppData\Local\Microsoft\Windows\INetCache\Content.Word\Screen Shot 2017-08-17 at 7.20.01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lastRenderedPageBreak/>
        <w:drawing>
          <wp:inline distT="0" distB="0" distL="0" distR="0" wp14:anchorId="19B82DE5" wp14:editId="308F057C">
            <wp:extent cx="5931535" cy="3277870"/>
            <wp:effectExtent l="0" t="0" r="0" b="0"/>
            <wp:docPr id="8" name="Picture 8" descr="C:\Users\Leonhard\AppData\Local\Microsoft\Windows\INetCache\Content.Word\Screen Shot 2017-08-17 at 7.24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onhard\AppData\Local\Microsoft\Windows\INetCache\Content.Word\Screen Shot 2017-08-17 at 7.24.07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 wp14:anchorId="5830FBA3" wp14:editId="663C5C13">
            <wp:extent cx="5943600" cy="3710940"/>
            <wp:effectExtent l="0" t="0" r="0" b="3810"/>
            <wp:docPr id="9" name="Picture 9" descr="C:\Users\Leonhard\AppData\Local\Microsoft\Windows\INetCache\Content.Word\Screen Shot 2017-08-17 at 7.24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onhard\AppData\Local\Microsoft\Windows\INetCache\Content.Word\Screen Shot 2017-08-17 at 7.24.51 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lastRenderedPageBreak/>
        <w:drawing>
          <wp:inline distT="0" distB="0" distL="0" distR="0" wp14:anchorId="12BA1A07" wp14:editId="0CEDBCB2">
            <wp:extent cx="5937885" cy="2339340"/>
            <wp:effectExtent l="0" t="0" r="5715" b="3810"/>
            <wp:docPr id="10" name="Picture 10" descr="C:\Users\Leonhard\AppData\Local\Microsoft\Windows\INetCache\Content.Word\Screen Shot 2017-08-18 at 1.20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onhard\AppData\Local\Microsoft\Windows\INetCache\Content.Word\Screen Shot 2017-08-18 at 1.20.11 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 wp14:anchorId="1F96BC4A" wp14:editId="72FD02CF">
            <wp:extent cx="5931535" cy="3432175"/>
            <wp:effectExtent l="0" t="0" r="0" b="0"/>
            <wp:docPr id="11" name="Picture 11" descr="C:\Users\Leonhard\AppData\Local\Microsoft\Windows\INetCache\Content.Word\Screen Shot 2017-08-18 at 12.51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onhard\AppData\Local\Microsoft\Windows\INetCache\Content.Word\Screen Shot 2017-08-18 at 12.51.22 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70A8F" w14:textId="77777777" w:rsidR="00C37459" w:rsidRDefault="00C37459">
      <w:pPr>
        <w:rPr>
          <w:sz w:val="20"/>
        </w:rPr>
      </w:pPr>
      <w:r>
        <w:rPr>
          <w:sz w:val="20"/>
        </w:rPr>
        <w:br w:type="page"/>
      </w:r>
    </w:p>
    <w:p w14:paraId="18293EE9" w14:textId="2A220548" w:rsidR="00C37459" w:rsidRDefault="00C37459" w:rsidP="00C37459">
      <w:pPr>
        <w:jc w:val="center"/>
        <w:rPr>
          <w:sz w:val="24"/>
        </w:rPr>
      </w:pPr>
      <w:r>
        <w:rPr>
          <w:sz w:val="24"/>
        </w:rPr>
        <w:lastRenderedPageBreak/>
        <w:t>References</w:t>
      </w:r>
    </w:p>
    <w:p w14:paraId="06C97E94" w14:textId="0EB0FB14" w:rsidR="00161F71" w:rsidRDefault="00C37459" w:rsidP="00565E46">
      <w:pPr>
        <w:ind w:left="720"/>
        <w:rPr>
          <w:sz w:val="20"/>
        </w:rPr>
      </w:pPr>
      <w:r w:rsidRPr="00C37459">
        <w:rPr>
          <w:sz w:val="20"/>
        </w:rPr>
        <w:t xml:space="preserve">Hoffman, M., D. </w:t>
      </w:r>
      <w:proofErr w:type="spellStart"/>
      <w:r w:rsidRPr="00C37459">
        <w:rPr>
          <w:sz w:val="20"/>
        </w:rPr>
        <w:t>Blei</w:t>
      </w:r>
      <w:proofErr w:type="spellEnd"/>
      <w:r w:rsidRPr="00C37459">
        <w:rPr>
          <w:sz w:val="20"/>
        </w:rPr>
        <w:t xml:space="preserve">, F. Bach. </w:t>
      </w:r>
      <w:r w:rsidRPr="00C37459">
        <w:rPr>
          <w:i/>
          <w:sz w:val="20"/>
        </w:rPr>
        <w:t xml:space="preserve">Online inference for latent </w:t>
      </w:r>
      <w:proofErr w:type="spellStart"/>
      <w:r w:rsidRPr="00C37459">
        <w:rPr>
          <w:i/>
          <w:sz w:val="20"/>
        </w:rPr>
        <w:t>Drichlet</w:t>
      </w:r>
      <w:proofErr w:type="spellEnd"/>
      <w:r w:rsidRPr="00C37459">
        <w:rPr>
          <w:i/>
          <w:sz w:val="20"/>
        </w:rPr>
        <w:t xml:space="preserve"> allocation</w:t>
      </w:r>
      <w:r>
        <w:rPr>
          <w:sz w:val="20"/>
        </w:rPr>
        <w:t>.</w:t>
      </w:r>
    </w:p>
    <w:p w14:paraId="042E06ED" w14:textId="4232A981" w:rsidR="00C37459" w:rsidRDefault="00C37459" w:rsidP="00565E46">
      <w:pPr>
        <w:ind w:left="720"/>
        <w:rPr>
          <w:sz w:val="20"/>
        </w:rPr>
      </w:pPr>
      <w:r>
        <w:rPr>
          <w:sz w:val="20"/>
        </w:rPr>
        <w:t xml:space="preserve">Wang, C., J. Paisley, D. </w:t>
      </w:r>
      <w:proofErr w:type="spellStart"/>
      <w:r>
        <w:rPr>
          <w:sz w:val="20"/>
        </w:rPr>
        <w:t>Blei</w:t>
      </w:r>
      <w:proofErr w:type="spellEnd"/>
      <w:r>
        <w:rPr>
          <w:sz w:val="20"/>
        </w:rPr>
        <w:t xml:space="preserve">. </w:t>
      </w:r>
      <w:r w:rsidRPr="00C37459">
        <w:rPr>
          <w:i/>
          <w:sz w:val="20"/>
        </w:rPr>
        <w:t xml:space="preserve">Online </w:t>
      </w:r>
      <w:proofErr w:type="spellStart"/>
      <w:r w:rsidRPr="00C37459">
        <w:rPr>
          <w:i/>
          <w:sz w:val="20"/>
        </w:rPr>
        <w:t>Variational</w:t>
      </w:r>
      <w:proofErr w:type="spellEnd"/>
      <w:r w:rsidRPr="00C37459">
        <w:rPr>
          <w:i/>
          <w:sz w:val="20"/>
        </w:rPr>
        <w:t xml:space="preserve"> Inference for the Hierarchical </w:t>
      </w:r>
      <w:proofErr w:type="spellStart"/>
      <w:r w:rsidRPr="00C37459">
        <w:rPr>
          <w:i/>
          <w:sz w:val="20"/>
        </w:rPr>
        <w:t>Dirichlet</w:t>
      </w:r>
      <w:proofErr w:type="spellEnd"/>
      <w:r w:rsidRPr="00C37459">
        <w:rPr>
          <w:i/>
          <w:sz w:val="20"/>
        </w:rPr>
        <w:t xml:space="preserve"> Process</w:t>
      </w:r>
      <w:r>
        <w:rPr>
          <w:sz w:val="20"/>
        </w:rPr>
        <w:t>.</w:t>
      </w:r>
    </w:p>
    <w:p w14:paraId="2C9D9859" w14:textId="4AA9E26B" w:rsidR="00C37459" w:rsidRPr="00161F71" w:rsidRDefault="00C37459" w:rsidP="00565E46">
      <w:pPr>
        <w:ind w:left="720"/>
        <w:rPr>
          <w:sz w:val="20"/>
        </w:rPr>
      </w:pPr>
      <w:r>
        <w:rPr>
          <w:sz w:val="20"/>
        </w:rPr>
        <w:t>Zhao, W.</w:t>
      </w:r>
      <w:r w:rsidRPr="00C37459">
        <w:rPr>
          <w:sz w:val="20"/>
        </w:rPr>
        <w:t xml:space="preserve">, </w:t>
      </w:r>
      <w:r>
        <w:rPr>
          <w:sz w:val="20"/>
        </w:rPr>
        <w:t>J. Chen, R. Perkins</w:t>
      </w:r>
      <w:r w:rsidRPr="00C37459">
        <w:rPr>
          <w:sz w:val="20"/>
        </w:rPr>
        <w:t>, Y</w:t>
      </w:r>
      <w:r>
        <w:rPr>
          <w:sz w:val="20"/>
        </w:rPr>
        <w:t>. Wang, Z. Liu, H. Hong, W. Tong, W.</w:t>
      </w:r>
      <w:r w:rsidRPr="00C37459">
        <w:rPr>
          <w:sz w:val="20"/>
        </w:rPr>
        <w:t xml:space="preserve"> Zou</w:t>
      </w:r>
      <w:r>
        <w:rPr>
          <w:sz w:val="20"/>
        </w:rPr>
        <w:t xml:space="preserve">. </w:t>
      </w:r>
      <w:r w:rsidRPr="00C37459">
        <w:rPr>
          <w:i/>
          <w:sz w:val="20"/>
        </w:rPr>
        <w:t>A novel procedure on next generation sequencing data analysis using text mining algorithm</w:t>
      </w:r>
      <w:r w:rsidRPr="00C37459">
        <w:rPr>
          <w:sz w:val="20"/>
        </w:rPr>
        <w:t>.</w:t>
      </w:r>
      <w:bookmarkStart w:id="0" w:name="_GoBack"/>
      <w:bookmarkEnd w:id="0"/>
    </w:p>
    <w:sectPr w:rsidR="00C37459" w:rsidRPr="00161F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646"/>
    <w:rsid w:val="00025996"/>
    <w:rsid w:val="000A0843"/>
    <w:rsid w:val="000F0995"/>
    <w:rsid w:val="00161F71"/>
    <w:rsid w:val="00184646"/>
    <w:rsid w:val="002A6F30"/>
    <w:rsid w:val="003764EC"/>
    <w:rsid w:val="00565E46"/>
    <w:rsid w:val="006D16EC"/>
    <w:rsid w:val="00876831"/>
    <w:rsid w:val="00893A42"/>
    <w:rsid w:val="00AC64B9"/>
    <w:rsid w:val="00B5108B"/>
    <w:rsid w:val="00C02046"/>
    <w:rsid w:val="00C37459"/>
    <w:rsid w:val="00D72CB6"/>
    <w:rsid w:val="00DF59D1"/>
    <w:rsid w:val="00E5660C"/>
    <w:rsid w:val="00F35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1B706"/>
  <w15:chartTrackingRefBased/>
  <w15:docId w15:val="{07FEC27C-A1E5-41B5-B3D8-5C462EAD4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A6F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6F3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97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Acosta</dc:creator>
  <cp:keywords/>
  <dc:description/>
  <cp:lastModifiedBy>Acosta, Juan</cp:lastModifiedBy>
  <cp:revision>6</cp:revision>
  <dcterms:created xsi:type="dcterms:W3CDTF">2018-02-28T23:45:00Z</dcterms:created>
  <dcterms:modified xsi:type="dcterms:W3CDTF">2018-03-01T00:07:00Z</dcterms:modified>
</cp:coreProperties>
</file>