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7E9455"/>
          <w:sz w:val="17"/>
        </w:rPr>
        <w:t>FOR DAVE | FROM JONATHAN | 9 SEPTEMBER 2026</w:t>
      </w:r>
    </w:p>
    <w:p>
      <w:pPr>
        <w:spacing w:after="160"/>
      </w:pPr>
      <w:r>
        <w:rPr>
          <w:b/>
          <w:color w:val="1E2A27"/>
          <w:sz w:val="38"/>
        </w:rPr>
        <w:t>Groundwork, and what the expansion is really asking for</w:t>
      </w:r>
    </w:p>
    <w:p>
      <w:r>
        <w:t>On the drive out of Hamina you put the whole problem in two sentences. We have to replicate ourselves: instruct somebody how to go to New Mexico and what questions to ask. And then the hard part: somebody has to synthesize it, and somebody has to quality-control it. Three weeks later the client sent a list of further markets. This page is about what already sits underneath the three markets we have run, because it answers both halves.</w:t>
      </w:r>
    </w:p>
    <w:p>
      <w:r>
        <w:t>Butterfly did not produce three markets of findings. It produced a way of turning a field week into an evidence base a client can check. Every recorded conversation is transcribed and the speakers are named. Every claim sits on a Claims Register with a verdict and a source, and every figure on a slide traces back to the tape or the document it came from. A set of checks stops a document going out with an unsourced number, a contested figure stated as fact, or a name the client has retired, and a market cannot close until what it taught has been written down for the next one. That is Groundwork. It has a name because it has to be handed to someone.</w:t>
      </w:r>
    </w:p>
    <w:p>
      <w:r>
        <w:t>This week, measured rather than remembered: the full set of checks ran green with nothing carried over, from a red that had stood for a fortnight, and every fix was made at the source rather than on the page. A new market now inherits its deliverable names, its translation note and its citation rules on the day it is created, and nobody types them. The whole estate can be measured with one command, by anyone, and the measurement answers the first question a second operator asks: what is this, and is anyone using it. The build got smaller and the verdict got greener on the same day, which argues for the method rather than for the effort.</w:t>
      </w:r>
    </w:p>
    <w:p>
      <w:r>
        <w:t>The client has already told us what they want, in their own asset notes. They ask for hard numbers and economic impact, for construction set against ongoing employment, for evidence that businesses are doing well and that the way of life is consistent, and, in the line that matters most, for what a new community needs to know from a community that has a longstanding data center. Six of the eight substance lines are evidence propositions. They have written a research brief and filed it under content. The community-to-community dialogue they ask for is the one format on that list an agency cannot deliver, because it needs a longstanding market’s evidence base to answer a new market’s questions, and we have one.</w:t>
      </w:r>
    </w:p>
    <w:p>
      <w:r>
        <w:t>Roughly half of the list you sent already sits inside research we have done. Loudoun is on it, and Loudoun is already the comparable in our own evidence base, on the county’s own figure for what data centers contribute to its general fund. Muskogee County and Stillwater sit in the same regulatory and ratepayer environment as Pryor, which is already worked. That is the answer to why us rather than an agency, and it is about what a further market inherits rather than what it costs.</w:t>
      </w:r>
    </w:p>
    <w:p>
      <w:r>
        <w:t>I am not claiming that the product is built. The part that travels is measured and ordered; the first modules have moved and the rest are queued with their blockers named. I am not claiming a market count, because three numbers are in circulation and none goes on a surface until you say which list is the list. And nothing here is about rate or licensing. That waits on a read of the agreements, and this page leaves the space open on purpose.</w:t>
      </w:r>
    </w:p>
    <w:p>
      <w:r>
        <w:t>Two things from you. Which list is the list. And an hour with the board open, so you can see the thing rather than read about it.</w:t>
      </w:r>
    </w:p>
    <w:p>
      <w:pPr>
        <w:spacing w:before="0" w:after="0"/>
      </w:pPr>
      <w:r>
        <w:rPr>
          <w:color w:val="6B7873"/>
          <w:sz w:val="16"/>
        </w:rPr>
        <w:t>Internal to the partnership. The client is not named on this page; the markets are.</w:t>
      </w:r>
    </w:p>
    <w:sectPr w:rsidR="00FC693F" w:rsidRPr="0006063C" w:rsidSect="00034616">
      <w:pgSz w:w="12240" w:h="15840"/>
      <w:pgMar w:top="936"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Helvetica" w:hAnsi="Helvetica"/>
      <w:color w:val="10161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