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The Market Intelligence Playbook</w:t>
      </w:r>
    </w:p>
    <w:p>
      <w:pPr>
        <w:pStyle w:val="Subtitle"/>
      </w:pPr>
      <w:r>
        <w:t>Version one · draft for review · 9 September 2026</w:t>
      </w:r>
    </w:p>
    <w:p>
      <w:r>
        <w:rPr>
          <w:i/>
        </w:rPr>
        <w:t>How a market is run, so that the next one starts where the last one finished. Draft for review, 9 September 2026.</w:t>
      </w:r>
    </w:p>
    <w:p>
      <w:pPr>
        <w:pStyle w:val="Heading2"/>
      </w:pPr>
      <w:r>
        <w:t>What this is</w:t>
      </w:r>
    </w:p>
    <w:p>
      <w:r>
        <w:t>Three markets have been run the same way. This document is that way, written down so that a fourth market can be run by a team that was not in the first three. It has three parts. What we ask is the instrument set: the questions, the register and the map a new market starts from, blank. What we found is what three markets taught about the questions themselves, including where the markets disagreed with each other and with the national story. The sequence is the order of work, phase by phase, with who owns each phase and what proves it finished.</w:t>
      </w:r>
    </w:p>
    <w:p>
      <w:r>
        <w:t>It describes a practice. It does not carry the tooling that ran it; the tooling is the team's, and a market can be run on the practice alone with a spreadsheet and a calendar. Figures are not asserted in this document; where a market's evidence is referred to, the Market Impact Assessment for that market is the place the figure lives with its source.</w:t>
      </w:r>
    </w:p>
    <w:p>
      <w:pPr>
        <w:pStyle w:val="Heading2"/>
      </w:pPr>
      <w:r>
        <w:t>Part one · What we ask</w:t>
      </w:r>
    </w:p>
    <w:p>
      <w:pPr>
        <w:pStyle w:val="Heading3"/>
      </w:pPr>
      <w:r>
        <w:t>The listening lens</w:t>
      </w:r>
    </w:p>
    <w:p>
      <w:r>
        <w:t>Every conversation is listened to through six themes. They are not a questionnaire; they are what the listener is listening for, and they map onto the company's own commitment pillars and thematic areas rather than competing with them.</w:t>
      </w:r>
    </w:p>
    <w:p>
      <w:pPr>
        <w:pStyle w:val="ListParagraph"/>
        <w:ind w:left="360"/>
      </w:pPr>
      <w:r>
        <w:t>•  Water</w:t>
      </w:r>
    </w:p>
    <w:p>
      <w:pPr>
        <w:pStyle w:val="ListParagraph"/>
        <w:ind w:left="360"/>
      </w:pPr>
      <w:r>
        <w:t>•  Energy &amp; Grid</w:t>
      </w:r>
    </w:p>
    <w:p>
      <w:pPr>
        <w:pStyle w:val="ListParagraph"/>
        <w:ind w:left="360"/>
      </w:pPr>
      <w:r>
        <w:t>•  Affordability</w:t>
      </w:r>
    </w:p>
    <w:p>
      <w:pPr>
        <w:pStyle w:val="ListParagraph"/>
        <w:ind w:left="360"/>
      </w:pPr>
      <w:r>
        <w:t>•  Economic Opportunity &amp; Workforce</w:t>
      </w:r>
    </w:p>
    <w:p>
      <w:pPr>
        <w:pStyle w:val="ListParagraph"/>
        <w:ind w:left="360"/>
      </w:pPr>
      <w:r>
        <w:t>•  Sustainability &amp; Circular</w:t>
      </w:r>
    </w:p>
    <w:p>
      <w:pPr>
        <w:pStyle w:val="ListParagraph"/>
        <w:ind w:left="360"/>
      </w:pPr>
      <w:r>
        <w:t>•  Community Partnership &amp; Trust</w:t>
      </w:r>
    </w:p>
    <w:p>
      <w:pPr>
        <w:pStyle w:val="Heading3"/>
      </w:pPr>
      <w:r>
        <w:t>The interview instrument</w:t>
      </w:r>
    </w:p>
    <w:p>
      <w:r>
        <w:t>The instrument below is the one used in the field, with the market's proper nouns removed. It is asked in this order because the order matters: a person describes the place before they describe the change, the change before its cause, and the cause before what it made possible. The ripple questions come late on purpose; they only work once the person has been talking for a while.</w:t>
      </w:r>
    </w:p>
    <w:p>
      <w:pPr>
        <w:pStyle w:val="Heading4"/>
      </w:pPr>
      <w:r>
        <w:t>Opening: the person</w:t>
      </w:r>
    </w:p>
    <w:p>
      <w:pPr>
        <w:pStyle w:val="ListParagraph"/>
        <w:ind w:left="360"/>
      </w:pPr>
      <w:r>
        <w:t>•  How did you come to be in [the market], and what's kept you here?</w:t>
      </w:r>
    </w:p>
    <w:p>
      <w:pPr>
        <w:pStyle w:val="ListParagraph"/>
        <w:ind w:left="360"/>
      </w:pPr>
      <w:r>
        <w:t>•  What do you love about this place? What's hard about it?</w:t>
      </w:r>
    </w:p>
    <w:p>
      <w:pPr>
        <w:pStyle w:val="ListParagraph"/>
        <w:ind w:left="360"/>
      </w:pPr>
      <w:r>
        <w:t>•  What's your stake in it, such as your work, your family, your land, or the corner of town you call yours?</w:t>
      </w:r>
    </w:p>
    <w:p>
      <w:pPr>
        <w:pStyle w:val="Heading4"/>
      </w:pPr>
      <w:r>
        <w:t>What changed</w:t>
      </w:r>
    </w:p>
    <w:p>
      <w:pPr>
        <w:pStyle w:val="ListParagraph"/>
        <w:ind w:left="360"/>
      </w:pPr>
      <w:r>
        <w:t>•  If someone who left [the market] fifteen years ago came back tomorrow, what would stop them in their tracks?</w:t>
      </w:r>
    </w:p>
    <w:p>
      <w:pPr>
        <w:pStyle w:val="ListParagraph"/>
        <w:ind w:left="360"/>
      </w:pPr>
      <w:r>
        <w:t>•  What feels most different now? And what hasn't changed at all?</w:t>
      </w:r>
    </w:p>
    <w:p>
      <w:pPr>
        <w:pStyle w:val="ListParagraph"/>
        <w:ind w:left="360"/>
      </w:pPr>
      <w:r>
        <w:t>•  Take me back to when you first felt the place starting to shift. Where were you, and what tipped you off?</w:t>
      </w:r>
    </w:p>
    <w:p>
      <w:pPr>
        <w:pStyle w:val="Heading4"/>
      </w:pPr>
      <w:r>
        <w:t>Why it changed</w:t>
      </w:r>
    </w:p>
    <w:p>
      <w:pPr>
        <w:pStyle w:val="ListParagraph"/>
        <w:ind w:left="360"/>
      </w:pPr>
      <w:r>
        <w:t>•  When did [the company] first enter the picture for you, and what did you make of it at the time?</w:t>
      </w:r>
    </w:p>
    <w:p>
      <w:pPr>
        <w:pStyle w:val="ListParagraph"/>
        <w:ind w:left="360"/>
      </w:pPr>
      <w:r>
        <w:t>•  Did the reality match what people expected when the campus was announced?</w:t>
      </w:r>
    </w:p>
    <w:p>
      <w:pPr>
        <w:pStyle w:val="ListParagraph"/>
        <w:ind w:left="360"/>
      </w:pPr>
      <w:r>
        <w:t>•  What surprised you most about having them here?</w:t>
      </w:r>
    </w:p>
    <w:p>
      <w:pPr>
        <w:pStyle w:val="Heading4"/>
      </w:pPr>
      <w:r>
        <w:t>What became possible</w:t>
      </w:r>
    </w:p>
    <w:p>
      <w:pPr>
        <w:pStyle w:val="ListParagraph"/>
        <w:ind w:left="360"/>
      </w:pPr>
      <w:r>
        <w:t>•  What became possible here that wasn't before, for you, your family, or someone you know?</w:t>
      </w:r>
    </w:p>
    <w:p>
      <w:pPr>
        <w:pStyle w:val="ListParagraph"/>
        <w:ind w:left="360"/>
      </w:pPr>
      <w:r>
        <w:t>•  Who comes to mind who started small, such as an entry-level job, and built something bigger from it? Walk me through their story.</w:t>
      </w:r>
    </w:p>
    <w:p>
      <w:pPr>
        <w:pStyle w:val="ListParagraph"/>
        <w:ind w:left="360"/>
      </w:pPr>
      <w:r>
        <w:t>•  Tell me about a business that grew, hired, or invested because a new opportunity opened up.</w:t>
      </w:r>
    </w:p>
    <w:p>
      <w:pPr>
        <w:pStyle w:val="ListParagraph"/>
        <w:ind w:left="360"/>
      </w:pPr>
      <w:r>
        <w:t>•  Something the town gained that wasn't here before, such as a class, a program, or a service. What did it change for people?</w:t>
      </w:r>
    </w:p>
    <w:p>
      <w:pPr>
        <w:pStyle w:val="Heading4"/>
      </w:pPr>
      <w:r>
        <w:t>The ripple effect</w:t>
      </w:r>
    </w:p>
    <w:p>
      <w:pPr>
        <w:pStyle w:val="ListParagraph"/>
        <w:ind w:left="360"/>
      </w:pPr>
      <w:r>
        <w:t>•  What's rippled out into the community that people don't usually connect back to the campus?</w:t>
      </w:r>
    </w:p>
    <w:p>
      <w:pPr>
        <w:pStyle w:val="ListParagraph"/>
        <w:ind w:left="360"/>
      </w:pPr>
      <w:r>
        <w:t>•  Who benefited that no one thinks to mention?</w:t>
      </w:r>
    </w:p>
    <w:p>
      <w:pPr>
        <w:pStyle w:val="ListParagraph"/>
        <w:ind w:left="360"/>
      </w:pPr>
      <w:r>
        <w:t>•  Whose story here deserves more attention than it's gotten, and who should we go find?</w:t>
      </w:r>
    </w:p>
    <w:p>
      <w:pPr>
        <w:pStyle w:val="Heading4"/>
      </w:pPr>
      <w:r>
        <w:t>Threads to follow</w:t>
      </w:r>
    </w:p>
    <w:p>
      <w:pPr>
        <w:pStyle w:val="ListParagraph"/>
        <w:ind w:left="360"/>
      </w:pPr>
      <w:r>
        <w:t>•  Did you or your organization do work tied to the campus, directly or through someone else? What did it change for you?</w:t>
      </w:r>
    </w:p>
    <w:p>
      <w:pPr>
        <w:pStyle w:val="ListParagraph"/>
        <w:ind w:left="360"/>
      </w:pPr>
      <w:r>
        <w:t>•  Did it let you hire, expand, invest, or take on work you couldn't before? Did that hold up over time?</w:t>
      </w:r>
    </w:p>
    <w:p>
      <w:pPr>
        <w:pStyle w:val="ListParagraph"/>
        <w:ind w:left="360"/>
      </w:pPr>
      <w:r>
        <w:t>•  On jobs more broadly, do people feel locals actually got hired, or that the best roles went to people from elsewhere?</w:t>
      </w:r>
    </w:p>
    <w:p>
      <w:pPr>
        <w:pStyle w:val="ListParagraph"/>
        <w:ind w:left="360"/>
      </w:pPr>
      <w:r>
        <w:t>•  What's changed in the schools, the library, healthcare, or the things families rely on day to day?</w:t>
      </w:r>
    </w:p>
    <w:p>
      <w:pPr>
        <w:pStyle w:val="ListParagraph"/>
        <w:ind w:left="360"/>
      </w:pPr>
      <w:r>
        <w:t>•  Have roads, internet, cell coverage, or power reliability shifted at all, and who felt it first?</w:t>
      </w:r>
    </w:p>
    <w:p>
      <w:pPr>
        <w:pStyle w:val="ListParagraph"/>
        <w:ind w:left="360"/>
      </w:pPr>
      <w:r>
        <w:t>•  Housing was a real strain here, such as rising rents and places being hard to find. How did that feel for people you know, and is it easing?</w:t>
      </w:r>
    </w:p>
    <w:p>
      <w:pPr>
        <w:pStyle w:val="ListParagraph"/>
        <w:ind w:left="360"/>
      </w:pPr>
      <w:r>
        <w:t>•  What are people most proud of today?</w:t>
      </w:r>
    </w:p>
    <w:p>
      <w:pPr>
        <w:pStyle w:val="ListParagraph"/>
        <w:ind w:left="360"/>
      </w:pPr>
      <w:r>
        <w:t>•  When water and the campus come up around town, what do you hear? What worries people, and what reassures them?</w:t>
      </w:r>
    </w:p>
    <w:p>
      <w:pPr>
        <w:pStyle w:val="ListParagraph"/>
        <w:ind w:left="360"/>
      </w:pPr>
      <w:r>
        <w:t>•  What's your own experience been, with your land, your well, the river, or the seasons?</w:t>
      </w:r>
    </w:p>
    <w:p>
      <w:pPr>
        <w:pStyle w:val="ListParagraph"/>
        <w:ind w:left="360"/>
      </w:pPr>
      <w:r>
        <w:t>•  Where do people get their information about water, and do they trust it? Have opinions shifted over time?</w:t>
      </w:r>
    </w:p>
    <w:p>
      <w:pPr>
        <w:pStyle w:val="ListParagraph"/>
        <w:ind w:left="360"/>
      </w:pPr>
      <w:r>
        <w:t>•  [the market] sits within the [the tribal nation, where one is present] reservation. How has the Nation been part of [the market]'s story, and how is that relationship understood here?</w:t>
      </w:r>
    </w:p>
    <w:p>
      <w:pPr>
        <w:pStyle w:val="ListParagraph"/>
        <w:ind w:left="360"/>
      </w:pPr>
      <w:r>
        <w:t>•  Are there partnerships people are especially proud of? Where's the room to do better?</w:t>
      </w:r>
    </w:p>
    <w:p>
      <w:pPr>
        <w:pStyle w:val="ListParagraph"/>
        <w:ind w:left="360"/>
      </w:pPr>
      <w:r>
        <w:t>•  Who feels fully part of what's happened here, and who feels left out of it?</w:t>
      </w:r>
    </w:p>
    <w:p>
      <w:pPr>
        <w:pStyle w:val="Heading4"/>
      </w:pPr>
      <w:r>
        <w:t>Looking forward</w:t>
      </w:r>
    </w:p>
    <w:p>
      <w:pPr>
        <w:pStyle w:val="ListParagraph"/>
        <w:ind w:left="360"/>
      </w:pPr>
      <w:r>
        <w:t>•  What could [the market] become over the next ten years, and what has to go right?</w:t>
      </w:r>
    </w:p>
    <w:p>
      <w:pPr>
        <w:pStyle w:val="ListParagraph"/>
        <w:ind w:left="360"/>
      </w:pPr>
      <w:r>
        <w:t>•  What challenges are still unsolved?</w:t>
      </w:r>
    </w:p>
    <w:p>
      <w:pPr>
        <w:pStyle w:val="ListParagraph"/>
        <w:ind w:left="360"/>
      </w:pPr>
      <w:r>
        <w:t>•  If another town were about to welcome a data center, what would you tell them, the promise and the warning both?</w:t>
      </w:r>
    </w:p>
    <w:p>
      <w:pPr>
        <w:pStyle w:val="ListParagraph"/>
        <w:ind w:left="360"/>
      </w:pPr>
      <w:r>
        <w:t>•  What do you hope people say about [the market] five years from now?</w:t>
      </w:r>
    </w:p>
    <w:p>
      <w:pPr>
        <w:pStyle w:val="Heading4"/>
      </w:pPr>
      <w:r>
        <w:t>Closing</w:t>
      </w:r>
    </w:p>
    <w:p>
      <w:pPr>
        <w:pStyle w:val="Heading3"/>
      </w:pPr>
      <w:r>
        <w:t>The Claims Register, blank</w:t>
      </w:r>
    </w:p>
    <w:p>
      <w:r>
        <w:t>Every factual claim from every conversation and every document goes on one register. The columns are the columns used in the three markets, unchanged. A claim is a row from the moment it is heard; the verdict is what the evidence supports, and a claim whose verdict is not yet supported does not reach a page the client sees.</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4680"/>
          </w:tcPr>
          <w:p>
            <w:r>
              <w:rPr>
                <w:sz w:val="19"/>
              </w:rPr>
            </w:r>
            <w:r>
              <w:rPr>
                <w:b/>
                <w:sz w:val="19"/>
              </w:rPr>
              <w:t>Column</w:t>
            </w:r>
          </w:p>
        </w:tc>
        <w:tc>
          <w:tcPr>
            <w:tcW w:type="dxa" w:w="4680"/>
          </w:tcPr>
          <w:p>
            <w:r>
              <w:rPr>
                <w:sz w:val="19"/>
              </w:rPr>
            </w:r>
            <w:r>
              <w:rPr>
                <w:b/>
                <w:sz w:val="19"/>
              </w:rPr>
              <w:t>What goes in it</w:t>
            </w:r>
          </w:p>
        </w:tc>
      </w:tr>
      <w:tr>
        <w:tc>
          <w:tcPr>
            <w:tcW w:type="dxa" w:w="4680"/>
          </w:tcPr>
          <w:p>
            <w:r>
              <w:rPr>
                <w:sz w:val="19"/>
              </w:rPr>
            </w:r>
            <w:r>
              <w:rPr>
                <w:sz w:val="19"/>
              </w:rPr>
              <w:t>ID</w:t>
            </w:r>
          </w:p>
        </w:tc>
        <w:tc>
          <w:tcPr>
            <w:tcW w:type="dxa" w:w="4680"/>
          </w:tcPr>
          <w:p>
            <w:r>
              <w:rPr>
                <w:sz w:val="19"/>
              </w:rPr>
            </w:r>
            <w:r>
              <w:rPr>
                <w:sz w:val="19"/>
              </w:rPr>
              <w:t>sequential, never reused</w:t>
            </w:r>
          </w:p>
        </w:tc>
      </w:tr>
      <w:tr>
        <w:tc>
          <w:tcPr>
            <w:tcW w:type="dxa" w:w="4680"/>
          </w:tcPr>
          <w:p>
            <w:r>
              <w:rPr>
                <w:sz w:val="19"/>
              </w:rPr>
            </w:r>
            <w:r>
              <w:rPr>
                <w:sz w:val="19"/>
              </w:rPr>
              <w:t>Claim / figure</w:t>
            </w:r>
          </w:p>
        </w:tc>
        <w:tc>
          <w:tcPr>
            <w:tcW w:type="dxa" w:w="4680"/>
          </w:tcPr>
          <w:p>
            <w:r>
              <w:rPr>
                <w:sz w:val="19"/>
              </w:rPr>
            </w:r>
            <w:r>
              <w:rPr>
                <w:sz w:val="19"/>
              </w:rPr>
              <w:t>the claim in one line</w:t>
            </w:r>
          </w:p>
        </w:tc>
      </w:tr>
      <w:tr>
        <w:tc>
          <w:tcPr>
            <w:tcW w:type="dxa" w:w="4680"/>
          </w:tcPr>
          <w:p>
            <w:r>
              <w:rPr>
                <w:sz w:val="19"/>
              </w:rPr>
            </w:r>
            <w:r>
              <w:rPr>
                <w:sz w:val="19"/>
              </w:rPr>
              <w:t>Claim in full</w:t>
            </w:r>
          </w:p>
        </w:tc>
        <w:tc>
          <w:tcPr>
            <w:tcW w:type="dxa" w:w="4680"/>
          </w:tcPr>
          <w:p>
            <w:r>
              <w:rPr>
                <w:sz w:val="19"/>
              </w:rPr>
            </w:r>
            <w:r>
              <w:rPr>
                <w:sz w:val="19"/>
              </w:rPr>
              <w:t>the claim as made, verbatim where possible</w:t>
            </w:r>
          </w:p>
        </w:tc>
      </w:tr>
      <w:tr>
        <w:tc>
          <w:tcPr>
            <w:tcW w:type="dxa" w:w="4680"/>
          </w:tcPr>
          <w:p>
            <w:r>
              <w:rPr>
                <w:sz w:val="19"/>
              </w:rPr>
            </w:r>
            <w:r>
              <w:rPr>
                <w:sz w:val="19"/>
              </w:rPr>
              <w:t>Asserted value</w:t>
            </w:r>
          </w:p>
        </w:tc>
        <w:tc>
          <w:tcPr>
            <w:tcW w:type="dxa" w:w="4680"/>
          </w:tcPr>
          <w:p>
            <w:r>
              <w:rPr>
                <w:sz w:val="19"/>
              </w:rPr>
            </w:r>
            <w:r>
              <w:rPr>
                <w:sz w:val="19"/>
              </w:rPr>
              <w:t>the number or statement asserted</w:t>
            </w:r>
          </w:p>
        </w:tc>
      </w:tr>
      <w:tr>
        <w:tc>
          <w:tcPr>
            <w:tcW w:type="dxa" w:w="4680"/>
          </w:tcPr>
          <w:p>
            <w:r>
              <w:rPr>
                <w:sz w:val="19"/>
              </w:rPr>
            </w:r>
            <w:r>
              <w:rPr>
                <w:sz w:val="19"/>
              </w:rPr>
              <w:t>Market</w:t>
            </w:r>
          </w:p>
        </w:tc>
        <w:tc>
          <w:tcPr>
            <w:tcW w:type="dxa" w:w="4680"/>
          </w:tcPr>
          <w:p>
            <w:r>
              <w:rPr>
                <w:sz w:val="19"/>
              </w:rPr>
            </w:r>
            <w:r>
              <w:rPr>
                <w:sz w:val="19"/>
              </w:rPr>
              <w:t>which market, or National</w:t>
            </w:r>
          </w:p>
        </w:tc>
      </w:tr>
      <w:tr>
        <w:tc>
          <w:tcPr>
            <w:tcW w:type="dxa" w:w="4680"/>
          </w:tcPr>
          <w:p>
            <w:r>
              <w:rPr>
                <w:sz w:val="19"/>
              </w:rPr>
            </w:r>
            <w:r>
              <w:rPr>
                <w:sz w:val="19"/>
              </w:rPr>
              <w:t>Pillar / thematic area</w:t>
            </w:r>
          </w:p>
        </w:tc>
        <w:tc>
          <w:tcPr>
            <w:tcW w:type="dxa" w:w="4680"/>
          </w:tcPr>
          <w:p>
            <w:r>
              <w:rPr>
                <w:sz w:val="19"/>
              </w:rPr>
            </w:r>
            <w:r>
              <w:rPr>
                <w:sz w:val="19"/>
              </w:rPr>
              <w:t>the company's own framing the claim speaks to</w:t>
            </w:r>
          </w:p>
        </w:tc>
      </w:tr>
      <w:tr>
        <w:tc>
          <w:tcPr>
            <w:tcW w:type="dxa" w:w="4680"/>
          </w:tcPr>
          <w:p>
            <w:r>
              <w:rPr>
                <w:sz w:val="19"/>
              </w:rPr>
            </w:r>
            <w:r>
              <w:rPr>
                <w:sz w:val="19"/>
              </w:rPr>
              <w:t>Where used</w:t>
            </w:r>
          </w:p>
        </w:tc>
        <w:tc>
          <w:tcPr>
            <w:tcW w:type="dxa" w:w="4680"/>
          </w:tcPr>
          <w:p>
            <w:r>
              <w:rPr>
                <w:sz w:val="19"/>
              </w:rPr>
            </w:r>
            <w:r>
              <w:rPr>
                <w:sz w:val="19"/>
              </w:rPr>
              <w:t>every surface the claim appears on</w:t>
            </w:r>
          </w:p>
        </w:tc>
      </w:tr>
      <w:tr>
        <w:tc>
          <w:tcPr>
            <w:tcW w:type="dxa" w:w="4680"/>
          </w:tcPr>
          <w:p>
            <w:r>
              <w:rPr>
                <w:sz w:val="19"/>
              </w:rPr>
            </w:r>
            <w:r>
              <w:rPr>
                <w:sz w:val="19"/>
              </w:rPr>
              <w:t>Verdict</w:t>
            </w:r>
          </w:p>
        </w:tc>
        <w:tc>
          <w:tcPr>
            <w:tcW w:type="dxa" w:w="4680"/>
          </w:tcPr>
          <w:p>
            <w:r>
              <w:rPr>
                <w:sz w:val="19"/>
              </w:rPr>
            </w:r>
            <w:r>
              <w:rPr>
                <w:sz w:val="19"/>
              </w:rPr>
              <w:t>supported · contested · misframed · unverified · company-only · mixed</w:t>
            </w:r>
          </w:p>
        </w:tc>
      </w:tr>
      <w:tr>
        <w:tc>
          <w:tcPr>
            <w:tcW w:type="dxa" w:w="4680"/>
          </w:tcPr>
          <w:p>
            <w:r>
              <w:rPr>
                <w:sz w:val="19"/>
              </w:rPr>
            </w:r>
            <w:r>
              <w:rPr>
                <w:sz w:val="19"/>
              </w:rPr>
              <w:t>State</w:t>
            </w:r>
          </w:p>
        </w:tc>
        <w:tc>
          <w:tcPr>
            <w:tcW w:type="dxa" w:w="4680"/>
          </w:tcPr>
          <w:p>
            <w:r>
              <w:rPr>
                <w:sz w:val="19"/>
              </w:rPr>
            </w:r>
            <w:r>
              <w:rPr>
                <w:sz w:val="19"/>
              </w:rPr>
              <w:t>the claim's state on client surfaces</w:t>
            </w:r>
          </w:p>
        </w:tc>
      </w:tr>
      <w:tr>
        <w:tc>
          <w:tcPr>
            <w:tcW w:type="dxa" w:w="4680"/>
          </w:tcPr>
          <w:p>
            <w:r>
              <w:rPr>
                <w:sz w:val="19"/>
              </w:rPr>
            </w:r>
            <w:r>
              <w:rPr>
                <w:sz w:val="19"/>
              </w:rPr>
              <w:t>Plain-language read</w:t>
            </w:r>
          </w:p>
        </w:tc>
        <w:tc>
          <w:tcPr>
            <w:tcW w:type="dxa" w:w="4680"/>
          </w:tcPr>
          <w:p>
            <w:r>
              <w:rPr>
                <w:sz w:val="19"/>
              </w:rPr>
            </w:r>
            <w:r>
              <w:rPr>
                <w:sz w:val="19"/>
              </w:rPr>
              <w:t>what the verdict means for a reader</w:t>
            </w:r>
          </w:p>
        </w:tc>
      </w:tr>
      <w:tr>
        <w:tc>
          <w:tcPr>
            <w:tcW w:type="dxa" w:w="4680"/>
          </w:tcPr>
          <w:p>
            <w:r>
              <w:rPr>
                <w:sz w:val="19"/>
              </w:rPr>
            </w:r>
            <w:r>
              <w:rPr>
                <w:sz w:val="19"/>
              </w:rPr>
              <w:t>Critical?</w:t>
            </w:r>
          </w:p>
        </w:tc>
        <w:tc>
          <w:tcPr>
            <w:tcW w:type="dxa" w:w="4680"/>
          </w:tcPr>
          <w:p>
            <w:r>
              <w:rPr>
                <w:sz w:val="19"/>
              </w:rPr>
            </w:r>
            <w:r>
              <w:rPr>
                <w:sz w:val="19"/>
              </w:rPr>
              <w:t>whether the claim is load-bearing</w:t>
            </w:r>
          </w:p>
        </w:tc>
      </w:tr>
      <w:tr>
        <w:tc>
          <w:tcPr>
            <w:tcW w:type="dxa" w:w="4680"/>
          </w:tcPr>
          <w:p>
            <w:r>
              <w:rPr>
                <w:sz w:val="19"/>
              </w:rPr>
            </w:r>
            <w:r>
              <w:rPr>
                <w:sz w:val="19"/>
              </w:rPr>
              <w:t>Independent source (or who asserts)</w:t>
            </w:r>
          </w:p>
        </w:tc>
        <w:tc>
          <w:tcPr>
            <w:tcW w:type="dxa" w:w="4680"/>
          </w:tcPr>
          <w:p>
            <w:r>
              <w:rPr>
                <w:sz w:val="19"/>
              </w:rPr>
            </w:r>
            <w:r>
              <w:rPr>
                <w:sz w:val="19"/>
              </w:rPr>
              <w:t>the source that corroborates, or the party asserting</w:t>
            </w:r>
          </w:p>
        </w:tc>
      </w:tr>
      <w:tr>
        <w:tc>
          <w:tcPr>
            <w:tcW w:type="dxa" w:w="4680"/>
          </w:tcPr>
          <w:p>
            <w:r>
              <w:rPr>
                <w:sz w:val="19"/>
              </w:rPr>
            </w:r>
            <w:r>
              <w:rPr>
                <w:sz w:val="19"/>
              </w:rPr>
              <w:t>Safe framing / correct figure</w:t>
            </w:r>
          </w:p>
        </w:tc>
        <w:tc>
          <w:tcPr>
            <w:tcW w:type="dxa" w:w="4680"/>
          </w:tcPr>
          <w:p>
            <w:r>
              <w:rPr>
                <w:sz w:val="19"/>
              </w:rPr>
            </w:r>
            <w:r>
              <w:rPr>
                <w:sz w:val="19"/>
              </w:rPr>
              <w:t>the wording that can be said</w:t>
            </w:r>
          </w:p>
        </w:tc>
      </w:tr>
      <w:tr>
        <w:tc>
          <w:tcPr>
            <w:tcW w:type="dxa" w:w="4680"/>
          </w:tcPr>
          <w:p>
            <w:r>
              <w:rPr>
                <w:sz w:val="19"/>
              </w:rPr>
            </w:r>
            <w:r>
              <w:rPr>
                <w:sz w:val="19"/>
              </w:rPr>
              <w:t>Recommended action to verify</w:t>
            </w:r>
          </w:p>
        </w:tc>
        <w:tc>
          <w:tcPr>
            <w:tcW w:type="dxa" w:w="4680"/>
          </w:tcPr>
          <w:p>
            <w:r>
              <w:rPr>
                <w:sz w:val="19"/>
              </w:rPr>
            </w:r>
            <w:r>
              <w:rPr>
                <w:sz w:val="19"/>
              </w:rPr>
              <w:t>what would settle it</w:t>
            </w:r>
          </w:p>
        </w:tc>
      </w:tr>
      <w:tr>
        <w:tc>
          <w:tcPr>
            <w:tcW w:type="dxa" w:w="4680"/>
          </w:tcPr>
          <w:p>
            <w:r>
              <w:rPr>
                <w:sz w:val="19"/>
              </w:rPr>
            </w:r>
            <w:r>
              <w:rPr>
                <w:sz w:val="19"/>
              </w:rPr>
              <w:t>Outbound source URL</w:t>
            </w:r>
          </w:p>
        </w:tc>
        <w:tc>
          <w:tcPr>
            <w:tcW w:type="dxa" w:w="4680"/>
          </w:tcPr>
          <w:p>
            <w:r>
              <w:rPr>
                <w:sz w:val="19"/>
              </w:rPr>
            </w:r>
            <w:r>
              <w:rPr>
                <w:sz w:val="19"/>
              </w:rPr>
              <w:t>the source, linked</w:t>
            </w:r>
          </w:p>
        </w:tc>
      </w:tr>
      <w:tr>
        <w:tc>
          <w:tcPr>
            <w:tcW w:type="dxa" w:w="4680"/>
          </w:tcPr>
          <w:p>
            <w:r>
              <w:rPr>
                <w:sz w:val="19"/>
              </w:rPr>
            </w:r>
            <w:r>
              <w:rPr>
                <w:sz w:val="19"/>
              </w:rPr>
              <w:t>Source ID</w:t>
            </w:r>
          </w:p>
        </w:tc>
        <w:tc>
          <w:tcPr>
            <w:tcW w:type="dxa" w:w="4680"/>
          </w:tcPr>
          <w:p>
            <w:r>
              <w:rPr>
                <w:sz w:val="19"/>
              </w:rPr>
            </w:r>
            <w:r>
              <w:rPr>
                <w:sz w:val="19"/>
              </w:rPr>
              <w:t>the source's register key</w:t>
            </w:r>
          </w:p>
        </w:tc>
      </w:tr>
      <w:tr>
        <w:tc>
          <w:tcPr>
            <w:tcW w:type="dxa" w:w="4680"/>
          </w:tcPr>
          <w:p>
            <w:r>
              <w:rPr>
                <w:sz w:val="19"/>
              </w:rPr>
            </w:r>
            <w:r>
              <w:rPr>
                <w:sz w:val="19"/>
              </w:rPr>
              <w:t>Note</w:t>
            </w:r>
          </w:p>
        </w:tc>
        <w:tc>
          <w:tcPr>
            <w:tcW w:type="dxa" w:w="4680"/>
          </w:tcPr>
          <w:p>
            <w:r>
              <w:rPr>
                <w:sz w:val="19"/>
              </w:rPr>
            </w:r>
            <w:r>
              <w:rPr>
                <w:sz w:val="19"/>
              </w:rPr>
              <w:t>anything else</w:t>
            </w:r>
          </w:p>
        </w:tc>
      </w:tr>
      <w:tr>
        <w:tc>
          <w:tcPr>
            <w:tcW w:type="dxa" w:w="4680"/>
          </w:tcPr>
          <w:p>
            <w:r>
              <w:rPr>
                <w:sz w:val="19"/>
              </w:rPr>
            </w:r>
            <w:r>
              <w:rPr>
                <w:sz w:val="19"/>
              </w:rPr>
              <w:t>Last-verified</w:t>
            </w:r>
          </w:p>
        </w:tc>
        <w:tc>
          <w:tcPr>
            <w:tcW w:type="dxa" w:w="4680"/>
          </w:tcPr>
          <w:p>
            <w:r>
              <w:rPr>
                <w:sz w:val="19"/>
              </w:rPr>
            </w:r>
            <w:r>
              <w:rPr>
                <w:sz w:val="19"/>
              </w:rPr>
              <w:t>date</w:t>
            </w:r>
          </w:p>
        </w:tc>
      </w:tr>
    </w:tbl>
    <w:p/>
    <w:p>
      <w:pPr>
        <w:pStyle w:val="Heading3"/>
      </w:pPr>
      <w:r>
        <w:t>The champion map, blank</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4680"/>
          </w:tcPr>
          <w:p>
            <w:r>
              <w:rPr>
                <w:sz w:val="19"/>
              </w:rPr>
            </w:r>
            <w:r>
              <w:rPr>
                <w:b/>
                <w:sz w:val="19"/>
              </w:rPr>
              <w:t>Column</w:t>
            </w:r>
          </w:p>
        </w:tc>
        <w:tc>
          <w:tcPr>
            <w:tcW w:type="dxa" w:w="4680"/>
          </w:tcPr>
          <w:p>
            <w:r>
              <w:rPr>
                <w:sz w:val="19"/>
              </w:rPr>
            </w:r>
            <w:r>
              <w:rPr>
                <w:b/>
                <w:sz w:val="19"/>
              </w:rPr>
              <w:t>What goes in it</w:t>
            </w:r>
          </w:p>
        </w:tc>
      </w:tr>
      <w:tr>
        <w:tc>
          <w:tcPr>
            <w:tcW w:type="dxa" w:w="4680"/>
          </w:tcPr>
          <w:p>
            <w:r>
              <w:rPr>
                <w:sz w:val="19"/>
              </w:rPr>
            </w:r>
            <w:r>
              <w:rPr>
                <w:sz w:val="19"/>
              </w:rPr>
              <w:t>Name</w:t>
            </w:r>
          </w:p>
        </w:tc>
        <w:tc>
          <w:tcPr>
            <w:tcW w:type="dxa" w:w="4680"/>
          </w:tcPr>
          <w:p>
            <w:r>
              <w:rPr>
                <w:sz w:val="19"/>
              </w:rPr>
            </w:r>
            <w:r>
              <w:rPr>
                <w:sz w:val="19"/>
              </w:rPr>
              <w:t>as they introduce themselves</w:t>
            </w:r>
          </w:p>
        </w:tc>
      </w:tr>
      <w:tr>
        <w:tc>
          <w:tcPr>
            <w:tcW w:type="dxa" w:w="4680"/>
          </w:tcPr>
          <w:p>
            <w:r>
              <w:rPr>
                <w:sz w:val="19"/>
              </w:rPr>
            </w:r>
            <w:r>
              <w:rPr>
                <w:sz w:val="19"/>
              </w:rPr>
              <w:t>Role</w:t>
            </w:r>
          </w:p>
        </w:tc>
        <w:tc>
          <w:tcPr>
            <w:tcW w:type="dxa" w:w="4680"/>
          </w:tcPr>
          <w:p>
            <w:r>
              <w:rPr>
                <w:sz w:val="19"/>
              </w:rPr>
            </w:r>
            <w:r>
              <w:rPr>
                <w:sz w:val="19"/>
              </w:rPr>
              <w:t>what they do in the market, in their words</w:t>
            </w:r>
          </w:p>
        </w:tc>
      </w:tr>
      <w:tr>
        <w:tc>
          <w:tcPr>
            <w:tcW w:type="dxa" w:w="4680"/>
          </w:tcPr>
          <w:p>
            <w:r>
              <w:rPr>
                <w:sz w:val="19"/>
              </w:rPr>
            </w:r>
            <w:r>
              <w:rPr>
                <w:sz w:val="19"/>
              </w:rPr>
              <w:t>Market</w:t>
            </w:r>
          </w:p>
        </w:tc>
        <w:tc>
          <w:tcPr>
            <w:tcW w:type="dxa" w:w="4680"/>
          </w:tcPr>
          <w:p>
            <w:r>
              <w:rPr>
                <w:sz w:val="19"/>
              </w:rPr>
            </w:r>
          </w:p>
        </w:tc>
      </w:tr>
      <w:tr>
        <w:tc>
          <w:tcPr>
            <w:tcW w:type="dxa" w:w="4680"/>
          </w:tcPr>
          <w:p>
            <w:r>
              <w:rPr>
                <w:sz w:val="19"/>
              </w:rPr>
            </w:r>
            <w:r>
              <w:rPr>
                <w:sz w:val="19"/>
              </w:rPr>
              <w:t>Tier</w:t>
            </w:r>
          </w:p>
        </w:tc>
        <w:tc>
          <w:tcPr>
            <w:tcW w:type="dxa" w:w="4680"/>
          </w:tcPr>
          <w:p>
            <w:r>
              <w:rPr>
                <w:sz w:val="19"/>
              </w:rPr>
            </w:r>
            <w:r>
              <w:rPr>
                <w:sz w:val="19"/>
              </w:rPr>
              <w:t>lead voice · supporting voice · background</w:t>
            </w:r>
          </w:p>
        </w:tc>
      </w:tr>
      <w:tr>
        <w:tc>
          <w:tcPr>
            <w:tcW w:type="dxa" w:w="4680"/>
          </w:tcPr>
          <w:p>
            <w:r>
              <w:rPr>
                <w:sz w:val="19"/>
              </w:rPr>
            </w:r>
            <w:r>
              <w:rPr>
                <w:sz w:val="19"/>
              </w:rPr>
              <w:t>What they can speak to</w:t>
            </w:r>
          </w:p>
        </w:tc>
        <w:tc>
          <w:tcPr>
            <w:tcW w:type="dxa" w:w="4680"/>
          </w:tcPr>
          <w:p>
            <w:r>
              <w:rPr>
                <w:sz w:val="19"/>
              </w:rPr>
            </w:r>
            <w:r>
              <w:rPr>
                <w:sz w:val="19"/>
              </w:rPr>
              <w:t>the themes, from the listening lens</w:t>
            </w:r>
          </w:p>
        </w:tc>
      </w:tr>
      <w:tr>
        <w:tc>
          <w:tcPr>
            <w:tcW w:type="dxa" w:w="4680"/>
          </w:tcPr>
          <w:p>
            <w:r>
              <w:rPr>
                <w:sz w:val="19"/>
              </w:rPr>
            </w:r>
            <w:r>
              <w:rPr>
                <w:sz w:val="19"/>
              </w:rPr>
              <w:t>Consent</w:t>
            </w:r>
          </w:p>
        </w:tc>
        <w:tc>
          <w:tcPr>
            <w:tcW w:type="dxa" w:w="4680"/>
          </w:tcPr>
          <w:p>
            <w:r>
              <w:rPr>
                <w:sz w:val="19"/>
              </w:rPr>
            </w:r>
            <w:r>
              <w:rPr>
                <w:sz w:val="19"/>
              </w:rPr>
              <w:t>recorded · on the record · background only · declined</w:t>
            </w:r>
          </w:p>
        </w:tc>
      </w:tr>
      <w:tr>
        <w:tc>
          <w:tcPr>
            <w:tcW w:type="dxa" w:w="4680"/>
          </w:tcPr>
          <w:p>
            <w:r>
              <w:rPr>
                <w:sz w:val="19"/>
              </w:rPr>
            </w:r>
            <w:r>
              <w:rPr>
                <w:sz w:val="19"/>
              </w:rPr>
              <w:t>Contact path</w:t>
            </w:r>
          </w:p>
        </w:tc>
        <w:tc>
          <w:tcPr>
            <w:tcW w:type="dxa" w:w="4680"/>
          </w:tcPr>
          <w:p>
            <w:r>
              <w:rPr>
                <w:sz w:val="19"/>
              </w:rPr>
            </w:r>
            <w:r>
              <w:rPr>
                <w:sz w:val="19"/>
              </w:rPr>
              <w:t>who introduced them, and how they prefer to be reached</w:t>
            </w:r>
          </w:p>
        </w:tc>
      </w:tr>
      <w:tr>
        <w:tc>
          <w:tcPr>
            <w:tcW w:type="dxa" w:w="4680"/>
          </w:tcPr>
          <w:p>
            <w:r>
              <w:rPr>
                <w:sz w:val="19"/>
              </w:rPr>
            </w:r>
            <w:r>
              <w:rPr>
                <w:sz w:val="19"/>
              </w:rPr>
              <w:t>Status</w:t>
            </w:r>
          </w:p>
        </w:tc>
        <w:tc>
          <w:tcPr>
            <w:tcW w:type="dxa" w:w="4680"/>
          </w:tcPr>
          <w:p>
            <w:r>
              <w:rPr>
                <w:sz w:val="19"/>
              </w:rPr>
            </w:r>
            <w:r>
              <w:rPr>
                <w:sz w:val="19"/>
              </w:rPr>
              <w:t>mapped · approached · recorded · profiled · released</w:t>
            </w:r>
          </w:p>
        </w:tc>
      </w:tr>
      <w:tr>
        <w:tc>
          <w:tcPr>
            <w:tcW w:type="dxa" w:w="4680"/>
          </w:tcPr>
          <w:p>
            <w:r>
              <w:rPr>
                <w:sz w:val="19"/>
              </w:rPr>
            </w:r>
            <w:r>
              <w:rPr>
                <w:sz w:val="19"/>
              </w:rPr>
              <w:t>Notes</w:t>
            </w:r>
          </w:p>
        </w:tc>
        <w:tc>
          <w:tcPr>
            <w:tcW w:type="dxa" w:w="4680"/>
          </w:tcPr>
          <w:p>
            <w:r>
              <w:rPr>
                <w:sz w:val="19"/>
              </w:rPr>
            </w:r>
          </w:p>
        </w:tc>
      </w:tr>
    </w:tbl>
    <w:p/>
    <w:p>
      <w:pPr>
        <w:pStyle w:val="Heading3"/>
      </w:pPr>
      <w:r>
        <w:t>The close-out log, blank</w:t>
      </w:r>
    </w:p>
    <w:p>
      <w:r>
        <w:t>A market has not finished until what it taught is written here and classed. Only universal and conditional entries travel to the next market.</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4680"/>
          </w:tcPr>
          <w:p>
            <w:r>
              <w:rPr>
                <w:sz w:val="19"/>
              </w:rPr>
            </w:r>
            <w:r>
              <w:rPr>
                <w:b/>
                <w:sz w:val="19"/>
              </w:rPr>
              <w:t>Field</w:t>
            </w:r>
          </w:p>
        </w:tc>
        <w:tc>
          <w:tcPr>
            <w:tcW w:type="dxa" w:w="4680"/>
          </w:tcPr>
          <w:p>
            <w:r>
              <w:rPr>
                <w:sz w:val="19"/>
              </w:rPr>
            </w:r>
            <w:r>
              <w:rPr>
                <w:b/>
                <w:sz w:val="19"/>
              </w:rPr>
              <w:t>What goes in it</w:t>
            </w:r>
          </w:p>
        </w:tc>
      </w:tr>
      <w:tr>
        <w:tc>
          <w:tcPr>
            <w:tcW w:type="dxa" w:w="4680"/>
          </w:tcPr>
          <w:p>
            <w:r>
              <w:rPr>
                <w:sz w:val="19"/>
              </w:rPr>
            </w:r>
            <w:r>
              <w:rPr>
                <w:sz w:val="19"/>
              </w:rPr>
              <w:t>id</w:t>
            </w:r>
          </w:p>
        </w:tc>
        <w:tc>
          <w:tcPr>
            <w:tcW w:type="dxa" w:w="4680"/>
          </w:tcPr>
          <w:p>
            <w:r>
              <w:rPr>
                <w:sz w:val="19"/>
              </w:rPr>
            </w:r>
            <w:r>
              <w:rPr>
                <w:sz w:val="19"/>
              </w:rPr>
              <w:t>XM-###, sequential, never reused</w:t>
            </w:r>
          </w:p>
        </w:tc>
      </w:tr>
      <w:tr>
        <w:tc>
          <w:tcPr>
            <w:tcW w:type="dxa" w:w="4680"/>
          </w:tcPr>
          <w:p>
            <w:r>
              <w:rPr>
                <w:sz w:val="19"/>
              </w:rPr>
            </w:r>
            <w:r>
              <w:rPr>
                <w:sz w:val="19"/>
              </w:rPr>
              <w:t>market</w:t>
            </w:r>
          </w:p>
        </w:tc>
        <w:tc>
          <w:tcPr>
            <w:tcW w:type="dxa" w:w="4680"/>
          </w:tcPr>
          <w:p>
            <w:r>
              <w:rPr>
                <w:sz w:val="19"/>
              </w:rPr>
            </w:r>
            <w:r>
              <w:rPr>
                <w:sz w:val="19"/>
              </w:rPr>
              <w:t>Market key where the learning surfaced. PROGRAMME if it surfaced in the operating layer rather than in a market.</w:t>
            </w:r>
          </w:p>
        </w:tc>
      </w:tr>
      <w:tr>
        <w:tc>
          <w:tcPr>
            <w:tcW w:type="dxa" w:w="4680"/>
          </w:tcPr>
          <w:p>
            <w:r>
              <w:rPr>
                <w:sz w:val="19"/>
              </w:rPr>
            </w:r>
            <w:r>
              <w:rPr>
                <w:sz w:val="19"/>
              </w:rPr>
              <w:t>phase</w:t>
            </w:r>
          </w:p>
        </w:tc>
        <w:tc>
          <w:tcPr>
            <w:tcW w:type="dxa" w:w="4680"/>
          </w:tcPr>
          <w:p>
            <w:r>
              <w:rPr>
                <w:sz w:val="19"/>
              </w:rPr>
            </w:r>
            <w:r>
              <w:rPr>
                <w:sz w:val="19"/>
              </w:rPr>
              <w:t>Desk / Pre-field / Field / Processing / Synthesis / Review</w:t>
            </w:r>
          </w:p>
        </w:tc>
      </w:tr>
      <w:tr>
        <w:tc>
          <w:tcPr>
            <w:tcW w:type="dxa" w:w="4680"/>
          </w:tcPr>
          <w:p>
            <w:r>
              <w:rPr>
                <w:sz w:val="19"/>
              </w:rPr>
            </w:r>
            <w:r>
              <w:rPr>
                <w:sz w:val="19"/>
              </w:rPr>
              <w:t>learning</w:t>
            </w:r>
          </w:p>
        </w:tc>
        <w:tc>
          <w:tcPr>
            <w:tcW w:type="dxa" w:w="4680"/>
          </w:tcPr>
          <w:p>
            <w:r>
              <w:rPr>
                <w:sz w:val="19"/>
              </w:rPr>
            </w:r>
            <w:r>
              <w:rPr>
                <w:sz w:val="19"/>
              </w:rPr>
              <w:t>One sentence. What we now know that we did not before.</w:t>
            </w:r>
          </w:p>
        </w:tc>
      </w:tr>
      <w:tr>
        <w:tc>
          <w:tcPr>
            <w:tcW w:type="dxa" w:w="4680"/>
          </w:tcPr>
          <w:p>
            <w:r>
              <w:rPr>
                <w:sz w:val="19"/>
              </w:rPr>
            </w:r>
            <w:r>
              <w:rPr>
                <w:sz w:val="19"/>
              </w:rPr>
              <w:t>evidence</w:t>
            </w:r>
          </w:p>
        </w:tc>
        <w:tc>
          <w:tcPr>
            <w:tcW w:type="dxa" w:w="4680"/>
          </w:tcPr>
          <w:p>
            <w:r>
              <w:rPr>
                <w:sz w:val="19"/>
              </w:rPr>
            </w:r>
            <w:r>
              <w:rPr>
                <w:sz w:val="19"/>
              </w:rPr>
              <w:t>What made it visible: the incident, the interview, the correction. Not an assertion.</w:t>
            </w:r>
          </w:p>
        </w:tc>
      </w:tr>
      <w:tr>
        <w:tc>
          <w:tcPr>
            <w:tcW w:type="dxa" w:w="4680"/>
          </w:tcPr>
          <w:p>
            <w:r>
              <w:rPr>
                <w:sz w:val="19"/>
              </w:rPr>
            </w:r>
            <w:r>
              <w:rPr>
                <w:sz w:val="19"/>
              </w:rPr>
              <w:t>class</w:t>
            </w:r>
          </w:p>
        </w:tc>
        <w:tc>
          <w:tcPr>
            <w:tcW w:type="dxa" w:w="4680"/>
          </w:tcPr>
          <w:p>
            <w:r>
              <w:rPr>
                <w:sz w:val="19"/>
              </w:rPr>
            </w:r>
            <w:r>
              <w:rPr>
                <w:b/>
                <w:sz w:val="19"/>
              </w:rPr>
              <w:t>Universal</w:t>
            </w:r>
            <w:r>
              <w:rPr>
                <w:sz w:val="19"/>
              </w:rPr>
              <w:t xml:space="preserve"> holds everywhere · </w:t>
            </w:r>
            <w:r>
              <w:rPr>
                <w:b/>
                <w:sz w:val="19"/>
              </w:rPr>
              <w:t>Conditional</w:t>
            </w:r>
            <w:r>
              <w:rPr>
                <w:sz w:val="19"/>
              </w:rPr>
              <w:t xml:space="preserve"> holds where a named condition is true · </w:t>
            </w:r>
            <w:r>
              <w:rPr>
                <w:b/>
                <w:sz w:val="19"/>
              </w:rPr>
              <w:t>Local</w:t>
            </w:r>
            <w:r>
              <w:rPr>
                <w:sz w:val="19"/>
              </w:rPr>
              <w:t xml:space="preserve"> this market only</w:t>
            </w:r>
          </w:p>
        </w:tc>
      </w:tr>
      <w:tr>
        <w:tc>
          <w:tcPr>
            <w:tcW w:type="dxa" w:w="4680"/>
          </w:tcPr>
          <w:p>
            <w:r>
              <w:rPr>
                <w:sz w:val="19"/>
              </w:rPr>
            </w:r>
            <w:r>
              <w:rPr>
                <w:sz w:val="19"/>
              </w:rPr>
              <w:t>condition</w:t>
            </w:r>
          </w:p>
        </w:tc>
        <w:tc>
          <w:tcPr>
            <w:tcW w:type="dxa" w:w="4680"/>
          </w:tcPr>
          <w:p>
            <w:r>
              <w:rPr>
                <w:sz w:val="19"/>
              </w:rPr>
            </w:r>
            <w:r>
              <w:rPr>
                <w:sz w:val="19"/>
              </w:rPr>
              <w:t>Required when class is Conditional. The test a new market applies to decide whether this entry applies to it.</w:t>
            </w:r>
          </w:p>
        </w:tc>
      </w:tr>
      <w:tr>
        <w:tc>
          <w:tcPr>
            <w:tcW w:type="dxa" w:w="4680"/>
          </w:tcPr>
          <w:p>
            <w:r>
              <w:rPr>
                <w:sz w:val="19"/>
              </w:rPr>
            </w:r>
            <w:r>
              <w:rPr>
                <w:sz w:val="19"/>
              </w:rPr>
              <w:t>changes_what</w:t>
            </w:r>
          </w:p>
        </w:tc>
        <w:tc>
          <w:tcPr>
            <w:tcW w:type="dxa" w:w="4680"/>
          </w:tcPr>
          <w:p>
            <w:r>
              <w:rPr>
                <w:sz w:val="19"/>
              </w:rPr>
            </w:r>
            <w:r>
              <w:rPr>
                <w:sz w:val="19"/>
              </w:rPr>
              <w:t>Which instrument, gate or role this alters. Blank means it changed nothing, which is itself a finding.</w:t>
            </w:r>
          </w:p>
        </w:tc>
      </w:tr>
      <w:tr>
        <w:tc>
          <w:tcPr>
            <w:tcW w:type="dxa" w:w="4680"/>
          </w:tcPr>
          <w:p>
            <w:r>
              <w:rPr>
                <w:sz w:val="19"/>
              </w:rPr>
            </w:r>
            <w:r>
              <w:rPr>
                <w:sz w:val="19"/>
              </w:rPr>
              <w:t>folded</w:t>
            </w:r>
          </w:p>
        </w:tc>
        <w:tc>
          <w:tcPr>
            <w:tcW w:type="dxa" w:w="4680"/>
          </w:tcPr>
          <w:p>
            <w:r>
              <w:rPr>
                <w:sz w:val="19"/>
              </w:rPr>
            </w:r>
            <w:r>
              <w:rPr>
                <w:sz w:val="19"/>
              </w:rPr>
              <w:t>Date the change landed in the named instrument, or open</w:t>
            </w:r>
          </w:p>
        </w:tc>
      </w:tr>
      <w:tr>
        <w:tc>
          <w:tcPr>
            <w:tcW w:type="dxa" w:w="4680"/>
          </w:tcPr>
          <w:p>
            <w:r>
              <w:rPr>
                <w:sz w:val="19"/>
              </w:rPr>
            </w:r>
            <w:r>
              <w:rPr>
                <w:sz w:val="19"/>
              </w:rPr>
              <w:t>cost_if_missed</w:t>
            </w:r>
          </w:p>
        </w:tc>
        <w:tc>
          <w:tcPr>
            <w:tcW w:type="dxa" w:w="4680"/>
          </w:tcPr>
          <w:p>
            <w:r>
              <w:rPr>
                <w:sz w:val="19"/>
              </w:rPr>
            </w:r>
            <w:r>
              <w:rPr>
                <w:sz w:val="19"/>
              </w:rPr>
              <w:t>Rough hours, or the consequence. This is what argues for priority.</w:t>
            </w:r>
          </w:p>
        </w:tc>
      </w:tr>
    </w:tbl>
    <w:p/>
    <w:p>
      <w:pPr>
        <w:pStyle w:val="Heading2"/>
      </w:pPr>
      <w:r>
        <w:t>Part two · What we found</w:t>
      </w:r>
    </w:p>
    <w:p>
      <w:r>
        <w:t>This part is written candidly. How candid an externally shareable copy runs is the company's call, and the honest version is the one a future market can actually use.</w:t>
      </w:r>
    </w:p>
    <w:p>
      <w:pPr>
        <w:pStyle w:val="Heading3"/>
      </w:pPr>
      <w:r>
        <w:t>The register, by market</w:t>
      </w:r>
    </w:p>
    <w:p>
      <w:r>
        <w:t>The register's verdict vocabulary held across all three markets, which is the first finding: the same categories were enough. The proportions are the second finding. In every market the largest single class of claim was unverified at first registration, which is not a criticism of the market but a description of what a company knows about its own footprint before anyone goes and asks. The proportions below are counts of register rows, not judgements of the markets.</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337"/>
        <w:gridCol w:w="1337"/>
        <w:gridCol w:w="1337"/>
        <w:gridCol w:w="1337"/>
        <w:gridCol w:w="1337"/>
        <w:gridCol w:w="1337"/>
        <w:gridCol w:w="1337"/>
      </w:tblGrid>
      <w:tr>
        <w:tc>
          <w:tcPr>
            <w:tcW w:type="dxa" w:w="1337"/>
          </w:tcPr>
          <w:p>
            <w:r>
              <w:rPr>
                <w:sz w:val="19"/>
              </w:rPr>
            </w:r>
            <w:r>
              <w:rPr>
                <w:b/>
                <w:sz w:val="19"/>
              </w:rPr>
              <w:t>Market</w:t>
            </w:r>
          </w:p>
        </w:tc>
        <w:tc>
          <w:tcPr>
            <w:tcW w:type="dxa" w:w="1337"/>
          </w:tcPr>
          <w:p>
            <w:r>
              <w:rPr>
                <w:sz w:val="19"/>
              </w:rPr>
            </w:r>
            <w:r>
              <w:rPr>
                <w:b/>
                <w:sz w:val="19"/>
              </w:rPr>
              <w:t>Rows</w:t>
            </w:r>
          </w:p>
        </w:tc>
        <w:tc>
          <w:tcPr>
            <w:tcW w:type="dxa" w:w="1337"/>
          </w:tcPr>
          <w:p>
            <w:r>
              <w:rPr>
                <w:sz w:val="19"/>
              </w:rPr>
            </w:r>
            <w:r>
              <w:rPr>
                <w:b/>
                <w:sz w:val="19"/>
              </w:rPr>
              <w:t>Supported</w:t>
            </w:r>
          </w:p>
        </w:tc>
        <w:tc>
          <w:tcPr>
            <w:tcW w:type="dxa" w:w="1337"/>
          </w:tcPr>
          <w:p>
            <w:r>
              <w:rPr>
                <w:sz w:val="19"/>
              </w:rPr>
            </w:r>
            <w:r>
              <w:rPr>
                <w:b/>
                <w:sz w:val="19"/>
              </w:rPr>
              <w:t>Contested</w:t>
            </w:r>
          </w:p>
        </w:tc>
        <w:tc>
          <w:tcPr>
            <w:tcW w:type="dxa" w:w="1337"/>
          </w:tcPr>
          <w:p>
            <w:r>
              <w:rPr>
                <w:sz w:val="19"/>
              </w:rPr>
            </w:r>
            <w:r>
              <w:rPr>
                <w:b/>
                <w:sz w:val="19"/>
              </w:rPr>
              <w:t>Misframed</w:t>
            </w:r>
          </w:p>
        </w:tc>
        <w:tc>
          <w:tcPr>
            <w:tcW w:type="dxa" w:w="1337"/>
          </w:tcPr>
          <w:p>
            <w:r>
              <w:rPr>
                <w:sz w:val="19"/>
              </w:rPr>
            </w:r>
            <w:r>
              <w:rPr>
                <w:b/>
                <w:sz w:val="19"/>
              </w:rPr>
              <w:t>Unverified</w:t>
            </w:r>
          </w:p>
        </w:tc>
        <w:tc>
          <w:tcPr>
            <w:tcW w:type="dxa" w:w="1337"/>
          </w:tcPr>
          <w:p>
            <w:r>
              <w:rPr>
                <w:sz w:val="19"/>
              </w:rPr>
            </w:r>
            <w:r>
              <w:rPr>
                <w:b/>
                <w:sz w:val="19"/>
              </w:rPr>
              <w:t>Company-only</w:t>
            </w:r>
          </w:p>
        </w:tc>
      </w:tr>
      <w:tr>
        <w:tc>
          <w:tcPr>
            <w:tcW w:type="dxa" w:w="1337"/>
          </w:tcPr>
          <w:p>
            <w:r>
              <w:rPr>
                <w:sz w:val="19"/>
              </w:rPr>
            </w:r>
            <w:r>
              <w:rPr>
                <w:sz w:val="19"/>
              </w:rPr>
              <w:t>Pryor</w:t>
            </w:r>
          </w:p>
        </w:tc>
        <w:tc>
          <w:tcPr>
            <w:tcW w:type="dxa" w:w="1337"/>
          </w:tcPr>
          <w:p>
            <w:r>
              <w:rPr>
                <w:sz w:val="19"/>
              </w:rPr>
            </w:r>
            <w:r>
              <w:rPr>
                <w:sz w:val="19"/>
              </w:rPr>
              <w:t>138</w:t>
            </w:r>
          </w:p>
        </w:tc>
        <w:tc>
          <w:tcPr>
            <w:tcW w:type="dxa" w:w="1337"/>
          </w:tcPr>
          <w:p>
            <w:r>
              <w:rPr>
                <w:sz w:val="19"/>
              </w:rPr>
            </w:r>
            <w:r>
              <w:rPr>
                <w:sz w:val="19"/>
              </w:rPr>
              <w:t>25</w:t>
            </w:r>
          </w:p>
        </w:tc>
        <w:tc>
          <w:tcPr>
            <w:tcW w:type="dxa" w:w="1337"/>
          </w:tcPr>
          <w:p>
            <w:r>
              <w:rPr>
                <w:sz w:val="19"/>
              </w:rPr>
            </w:r>
            <w:r>
              <w:rPr>
                <w:sz w:val="19"/>
              </w:rPr>
              <w:t>14</w:t>
            </w:r>
          </w:p>
        </w:tc>
        <w:tc>
          <w:tcPr>
            <w:tcW w:type="dxa" w:w="1337"/>
          </w:tcPr>
          <w:p>
            <w:r>
              <w:rPr>
                <w:sz w:val="19"/>
              </w:rPr>
            </w:r>
            <w:r>
              <w:rPr>
                <w:sz w:val="19"/>
              </w:rPr>
              <w:t>15</w:t>
            </w:r>
          </w:p>
        </w:tc>
        <w:tc>
          <w:tcPr>
            <w:tcW w:type="dxa" w:w="1337"/>
          </w:tcPr>
          <w:p>
            <w:r>
              <w:rPr>
                <w:sz w:val="19"/>
              </w:rPr>
            </w:r>
            <w:r>
              <w:rPr>
                <w:sz w:val="19"/>
              </w:rPr>
              <w:t>77</w:t>
            </w:r>
          </w:p>
        </w:tc>
        <w:tc>
          <w:tcPr>
            <w:tcW w:type="dxa" w:w="1337"/>
          </w:tcPr>
          <w:p>
            <w:r>
              <w:rPr>
                <w:sz w:val="19"/>
              </w:rPr>
            </w:r>
            <w:r>
              <w:rPr>
                <w:sz w:val="19"/>
              </w:rPr>
              <w:t>5</w:t>
            </w:r>
          </w:p>
        </w:tc>
      </w:tr>
      <w:tr>
        <w:tc>
          <w:tcPr>
            <w:tcW w:type="dxa" w:w="1337"/>
          </w:tcPr>
          <w:p>
            <w:r>
              <w:rPr>
                <w:sz w:val="19"/>
              </w:rPr>
            </w:r>
            <w:r>
              <w:rPr>
                <w:sz w:val="19"/>
              </w:rPr>
              <w:t>Council Bluffs</w:t>
            </w:r>
          </w:p>
        </w:tc>
        <w:tc>
          <w:tcPr>
            <w:tcW w:type="dxa" w:w="1337"/>
          </w:tcPr>
          <w:p>
            <w:r>
              <w:rPr>
                <w:sz w:val="19"/>
              </w:rPr>
            </w:r>
            <w:r>
              <w:rPr>
                <w:sz w:val="19"/>
              </w:rPr>
              <w:t>113</w:t>
            </w:r>
          </w:p>
        </w:tc>
        <w:tc>
          <w:tcPr>
            <w:tcW w:type="dxa" w:w="1337"/>
          </w:tcPr>
          <w:p>
            <w:r>
              <w:rPr>
                <w:sz w:val="19"/>
              </w:rPr>
            </w:r>
            <w:r>
              <w:rPr>
                <w:sz w:val="19"/>
              </w:rPr>
              <w:t>21</w:t>
            </w:r>
          </w:p>
        </w:tc>
        <w:tc>
          <w:tcPr>
            <w:tcW w:type="dxa" w:w="1337"/>
          </w:tcPr>
          <w:p>
            <w:r>
              <w:rPr>
                <w:sz w:val="19"/>
              </w:rPr>
            </w:r>
            <w:r>
              <w:rPr>
                <w:sz w:val="19"/>
              </w:rPr>
              <w:t>8</w:t>
            </w:r>
          </w:p>
        </w:tc>
        <w:tc>
          <w:tcPr>
            <w:tcW w:type="dxa" w:w="1337"/>
          </w:tcPr>
          <w:p>
            <w:r>
              <w:rPr>
                <w:sz w:val="19"/>
              </w:rPr>
            </w:r>
            <w:r>
              <w:rPr>
                <w:sz w:val="19"/>
              </w:rPr>
              <w:t>11</w:t>
            </w:r>
          </w:p>
        </w:tc>
        <w:tc>
          <w:tcPr>
            <w:tcW w:type="dxa" w:w="1337"/>
          </w:tcPr>
          <w:p>
            <w:r>
              <w:rPr>
                <w:sz w:val="19"/>
              </w:rPr>
            </w:r>
            <w:r>
              <w:rPr>
                <w:sz w:val="19"/>
              </w:rPr>
              <w:t>66</w:t>
            </w:r>
          </w:p>
        </w:tc>
        <w:tc>
          <w:tcPr>
            <w:tcW w:type="dxa" w:w="1337"/>
          </w:tcPr>
          <w:p>
            <w:r>
              <w:rPr>
                <w:sz w:val="19"/>
              </w:rPr>
            </w:r>
            <w:r>
              <w:rPr>
                <w:sz w:val="19"/>
              </w:rPr>
              <w:t>7</w:t>
            </w:r>
          </w:p>
        </w:tc>
      </w:tr>
      <w:tr>
        <w:tc>
          <w:tcPr>
            <w:tcW w:type="dxa" w:w="1337"/>
          </w:tcPr>
          <w:p>
            <w:r>
              <w:rPr>
                <w:sz w:val="19"/>
              </w:rPr>
            </w:r>
            <w:r>
              <w:rPr>
                <w:sz w:val="19"/>
              </w:rPr>
              <w:t>Hamina</w:t>
            </w:r>
          </w:p>
        </w:tc>
        <w:tc>
          <w:tcPr>
            <w:tcW w:type="dxa" w:w="1337"/>
          </w:tcPr>
          <w:p>
            <w:r>
              <w:rPr>
                <w:sz w:val="19"/>
              </w:rPr>
            </w:r>
            <w:r>
              <w:rPr>
                <w:sz w:val="19"/>
              </w:rPr>
              <w:t>105</w:t>
            </w:r>
          </w:p>
        </w:tc>
        <w:tc>
          <w:tcPr>
            <w:tcW w:type="dxa" w:w="1337"/>
          </w:tcPr>
          <w:p>
            <w:r>
              <w:rPr>
                <w:sz w:val="19"/>
              </w:rPr>
            </w:r>
            <w:r>
              <w:rPr>
                <w:sz w:val="19"/>
              </w:rPr>
              <w:t>16</w:t>
            </w:r>
          </w:p>
        </w:tc>
        <w:tc>
          <w:tcPr>
            <w:tcW w:type="dxa" w:w="1337"/>
          </w:tcPr>
          <w:p>
            <w:r>
              <w:rPr>
                <w:sz w:val="19"/>
              </w:rPr>
            </w:r>
            <w:r>
              <w:rPr>
                <w:sz w:val="19"/>
              </w:rPr>
              <w:t>5</w:t>
            </w:r>
          </w:p>
        </w:tc>
        <w:tc>
          <w:tcPr>
            <w:tcW w:type="dxa" w:w="1337"/>
          </w:tcPr>
          <w:p>
            <w:r>
              <w:rPr>
                <w:sz w:val="19"/>
              </w:rPr>
            </w:r>
            <w:r>
              <w:rPr>
                <w:sz w:val="19"/>
              </w:rPr>
              <w:t>7</w:t>
            </w:r>
          </w:p>
        </w:tc>
        <w:tc>
          <w:tcPr>
            <w:tcW w:type="dxa" w:w="1337"/>
          </w:tcPr>
          <w:p>
            <w:r>
              <w:rPr>
                <w:sz w:val="19"/>
              </w:rPr>
            </w:r>
            <w:r>
              <w:rPr>
                <w:sz w:val="19"/>
              </w:rPr>
              <w:t>74</w:t>
            </w:r>
          </w:p>
        </w:tc>
        <w:tc>
          <w:tcPr>
            <w:tcW w:type="dxa" w:w="1337"/>
          </w:tcPr>
          <w:p>
            <w:r>
              <w:rPr>
                <w:sz w:val="19"/>
              </w:rPr>
            </w:r>
            <w:r>
              <w:rPr>
                <w:sz w:val="19"/>
              </w:rPr>
              <w:t>1</w:t>
            </w:r>
          </w:p>
        </w:tc>
      </w:tr>
      <w:tr>
        <w:tc>
          <w:tcPr>
            <w:tcW w:type="dxa" w:w="1337"/>
          </w:tcPr>
          <w:p>
            <w:r>
              <w:rPr>
                <w:sz w:val="19"/>
              </w:rPr>
            </w:r>
            <w:r>
              <w:rPr>
                <w:sz w:val="19"/>
              </w:rPr>
              <w:t>National</w:t>
            </w:r>
          </w:p>
        </w:tc>
        <w:tc>
          <w:tcPr>
            <w:tcW w:type="dxa" w:w="1337"/>
          </w:tcPr>
          <w:p>
            <w:r>
              <w:rPr>
                <w:sz w:val="19"/>
              </w:rPr>
            </w:r>
            <w:r>
              <w:rPr>
                <w:sz w:val="19"/>
              </w:rPr>
              <w:t>34</w:t>
            </w:r>
          </w:p>
        </w:tc>
        <w:tc>
          <w:tcPr>
            <w:tcW w:type="dxa" w:w="1337"/>
          </w:tcPr>
          <w:p>
            <w:r>
              <w:rPr>
                <w:sz w:val="19"/>
              </w:rPr>
            </w:r>
            <w:r>
              <w:rPr>
                <w:sz w:val="19"/>
              </w:rPr>
              <w:t>16</w:t>
            </w:r>
          </w:p>
        </w:tc>
        <w:tc>
          <w:tcPr>
            <w:tcW w:type="dxa" w:w="1337"/>
          </w:tcPr>
          <w:p>
            <w:r>
              <w:rPr>
                <w:sz w:val="19"/>
              </w:rPr>
            </w:r>
            <w:r>
              <w:rPr>
                <w:sz w:val="19"/>
              </w:rPr>
              <w:t>10</w:t>
            </w:r>
          </w:p>
        </w:tc>
        <w:tc>
          <w:tcPr>
            <w:tcW w:type="dxa" w:w="1337"/>
          </w:tcPr>
          <w:p>
            <w:r>
              <w:rPr>
                <w:sz w:val="19"/>
              </w:rPr>
            </w:r>
            <w:r>
              <w:rPr>
                <w:sz w:val="19"/>
              </w:rPr>
              <w:t>3</w:t>
            </w:r>
          </w:p>
        </w:tc>
        <w:tc>
          <w:tcPr>
            <w:tcW w:type="dxa" w:w="1337"/>
          </w:tcPr>
          <w:p>
            <w:r>
              <w:rPr>
                <w:sz w:val="19"/>
              </w:rPr>
            </w:r>
            <w:r>
              <w:rPr>
                <w:sz w:val="19"/>
              </w:rPr>
              <w:t>0</w:t>
            </w:r>
          </w:p>
        </w:tc>
        <w:tc>
          <w:tcPr>
            <w:tcW w:type="dxa" w:w="1337"/>
          </w:tcPr>
          <w:p>
            <w:r>
              <w:rPr>
                <w:sz w:val="19"/>
              </w:rPr>
            </w:r>
            <w:r>
              <w:rPr>
                <w:sz w:val="19"/>
              </w:rPr>
              <w:t>3</w:t>
            </w:r>
          </w:p>
        </w:tc>
      </w:tr>
    </w:tbl>
    <w:p/>
    <w:p>
      <w:pPr>
        <w:pStyle w:val="Heading3"/>
      </w:pPr>
      <w:r>
        <w:t>Where the claims cluster</w:t>
      </w:r>
    </w:p>
    <w:p>
      <w:r>
        <w:t>Most claims registered in three markets speak to economic benefit. The environmental and affordability claims are fewer and are where the contested and misframed verdicts concentrate, which is the third finding: the story the company tells is mostly economic, and the story the market argues about is mostly water and power. A new market should expect the same shape and staff the register accordingly.</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4680"/>
          </w:tcPr>
          <w:p>
            <w:r>
              <w:rPr>
                <w:sz w:val="19"/>
              </w:rPr>
            </w:r>
            <w:r>
              <w:rPr>
                <w:b/>
                <w:sz w:val="19"/>
              </w:rPr>
              <w:t>Thematic area</w:t>
            </w:r>
          </w:p>
        </w:tc>
        <w:tc>
          <w:tcPr>
            <w:tcW w:type="dxa" w:w="4680"/>
          </w:tcPr>
          <w:p>
            <w:r>
              <w:rPr>
                <w:sz w:val="19"/>
              </w:rPr>
            </w:r>
            <w:r>
              <w:rPr>
                <w:b/>
                <w:sz w:val="19"/>
              </w:rPr>
              <w:t>Rows across all markets</w:t>
            </w:r>
          </w:p>
        </w:tc>
      </w:tr>
      <w:tr>
        <w:tc>
          <w:tcPr>
            <w:tcW w:type="dxa" w:w="4680"/>
          </w:tcPr>
          <w:p>
            <w:r>
              <w:rPr>
                <w:sz w:val="19"/>
              </w:rPr>
            </w:r>
            <w:r>
              <w:rPr>
                <w:sz w:val="19"/>
              </w:rPr>
              <w:t>Economic Benefit</w:t>
            </w:r>
          </w:p>
        </w:tc>
        <w:tc>
          <w:tcPr>
            <w:tcW w:type="dxa" w:w="4680"/>
          </w:tcPr>
          <w:p>
            <w:r>
              <w:rPr>
                <w:sz w:val="19"/>
              </w:rPr>
            </w:r>
            <w:r>
              <w:rPr>
                <w:sz w:val="19"/>
              </w:rPr>
              <w:t>279</w:t>
            </w:r>
          </w:p>
        </w:tc>
      </w:tr>
      <w:tr>
        <w:tc>
          <w:tcPr>
            <w:tcW w:type="dxa" w:w="4680"/>
          </w:tcPr>
          <w:p>
            <w:r>
              <w:rPr>
                <w:sz w:val="19"/>
              </w:rPr>
            </w:r>
            <w:r>
              <w:rPr>
                <w:sz w:val="19"/>
              </w:rPr>
              <w:t>Resources &amp; Environment</w:t>
            </w:r>
          </w:p>
        </w:tc>
        <w:tc>
          <w:tcPr>
            <w:tcW w:type="dxa" w:w="4680"/>
          </w:tcPr>
          <w:p>
            <w:r>
              <w:rPr>
                <w:sz w:val="19"/>
              </w:rPr>
            </w:r>
            <w:r>
              <w:rPr>
                <w:sz w:val="19"/>
              </w:rPr>
              <w:t>47</w:t>
            </w:r>
          </w:p>
        </w:tc>
      </w:tr>
      <w:tr>
        <w:tc>
          <w:tcPr>
            <w:tcW w:type="dxa" w:w="4680"/>
          </w:tcPr>
          <w:p>
            <w:r>
              <w:rPr>
                <w:sz w:val="19"/>
              </w:rPr>
            </w:r>
            <w:r>
              <w:rPr>
                <w:sz w:val="19"/>
              </w:rPr>
              <w:t>Energy Affordability</w:t>
            </w:r>
          </w:p>
        </w:tc>
        <w:tc>
          <w:tcPr>
            <w:tcW w:type="dxa" w:w="4680"/>
          </w:tcPr>
          <w:p>
            <w:r>
              <w:rPr>
                <w:sz w:val="19"/>
              </w:rPr>
            </w:r>
            <w:r>
              <w:rPr>
                <w:sz w:val="19"/>
              </w:rPr>
              <w:t>32</w:t>
            </w:r>
          </w:p>
        </w:tc>
      </w:tr>
      <w:tr>
        <w:tc>
          <w:tcPr>
            <w:tcW w:type="dxa" w:w="4680"/>
          </w:tcPr>
          <w:p>
            <w:r>
              <w:rPr>
                <w:sz w:val="19"/>
              </w:rPr>
            </w:r>
            <w:r>
              <w:rPr>
                <w:sz w:val="19"/>
              </w:rPr>
              <w:t>Grid Modernization</w:t>
            </w:r>
          </w:p>
        </w:tc>
        <w:tc>
          <w:tcPr>
            <w:tcW w:type="dxa" w:w="4680"/>
          </w:tcPr>
          <w:p>
            <w:r>
              <w:rPr>
                <w:sz w:val="19"/>
              </w:rPr>
            </w:r>
            <w:r>
              <w:rPr>
                <w:sz w:val="19"/>
              </w:rPr>
              <w:t>17</w:t>
            </w:r>
          </w:p>
        </w:tc>
      </w:tr>
      <w:tr>
        <w:tc>
          <w:tcPr>
            <w:tcW w:type="dxa" w:w="4680"/>
          </w:tcPr>
          <w:p>
            <w:r>
              <w:rPr>
                <w:sz w:val="19"/>
              </w:rPr>
            </w:r>
            <w:r>
              <w:rPr>
                <w:sz w:val="19"/>
              </w:rPr>
              <w:t>Community &amp; Social</w:t>
            </w:r>
          </w:p>
        </w:tc>
        <w:tc>
          <w:tcPr>
            <w:tcW w:type="dxa" w:w="4680"/>
          </w:tcPr>
          <w:p>
            <w:r>
              <w:rPr>
                <w:sz w:val="19"/>
              </w:rPr>
            </w:r>
            <w:r>
              <w:rPr>
                <w:sz w:val="19"/>
              </w:rPr>
              <w:t>9</w:t>
            </w:r>
          </w:p>
        </w:tc>
      </w:tr>
      <w:tr>
        <w:tc>
          <w:tcPr>
            <w:tcW w:type="dxa" w:w="4680"/>
          </w:tcPr>
          <w:p>
            <w:r>
              <w:rPr>
                <w:sz w:val="19"/>
              </w:rPr>
            </w:r>
            <w:r>
              <w:rPr>
                <w:sz w:val="19"/>
              </w:rPr>
              <w:t>License To Operate</w:t>
            </w:r>
          </w:p>
        </w:tc>
        <w:tc>
          <w:tcPr>
            <w:tcW w:type="dxa" w:w="4680"/>
          </w:tcPr>
          <w:p>
            <w:r>
              <w:rPr>
                <w:sz w:val="19"/>
              </w:rPr>
            </w:r>
            <w:r>
              <w:rPr>
                <w:sz w:val="19"/>
              </w:rPr>
              <w:t>5</w:t>
            </w:r>
          </w:p>
        </w:tc>
      </w:tr>
      <w:tr>
        <w:tc>
          <w:tcPr>
            <w:tcW w:type="dxa" w:w="4680"/>
          </w:tcPr>
          <w:p>
            <w:r>
              <w:rPr>
                <w:sz w:val="19"/>
              </w:rPr>
            </w:r>
            <w:r>
              <w:rPr>
                <w:sz w:val="19"/>
              </w:rPr>
              <w:t>National Competitiveness</w:t>
            </w:r>
          </w:p>
        </w:tc>
        <w:tc>
          <w:tcPr>
            <w:tcW w:type="dxa" w:w="4680"/>
          </w:tcPr>
          <w:p>
            <w:r>
              <w:rPr>
                <w:sz w:val="19"/>
              </w:rPr>
            </w:r>
            <w:r>
              <w:rPr>
                <w:sz w:val="19"/>
              </w:rPr>
              <w:t>1</w:t>
            </w:r>
          </w:p>
        </w:tc>
      </w:tr>
    </w:tbl>
    <w:p/>
    <w:p>
      <w:pPr>
        <w:pStyle w:val="Heading3"/>
      </w:pPr>
      <w:r>
        <w:t>What the markets disagreed about</w:t>
      </w:r>
    </w:p>
    <w:p>
      <w:r>
        <w:t>Three patterns recurred. A figure published nationally did not survive contact with the local record: the national number was true and the local reading of it was not, and the register's misframed verdict exists for exactly this. A benefit the company counts was felt locally as a cost, or as somebody else's benefit: employment during construction and employment after it are different populations, and the market knows which one it is in. And the questions the market actually asks (who pays for the power, what happens to the water, whether the jobs are local) were not the questions the company's materials answered. The Market Impact Assessments carry each market's version of these with sources; this document carries the pattern.</w:t>
      </w:r>
    </w:p>
    <w:p>
      <w:pPr>
        <w:pStyle w:val="Heading3"/>
      </w:pPr>
      <w:r>
        <w:t>What travelled</w:t>
      </w:r>
    </w:p>
    <w:p>
      <w:r>
        <w:t>The instrument, the verdict vocabulary and the listening lens all travelled unchanged from the first market to the third. What did not travel was the local knowledge of who to ask, which is why the champion map is built fresh in every market and why the discovery visit precedes the production visit rather than being folded into it. A market run without a discovery visit films the people who were easiest to reach.</w:t>
      </w:r>
    </w:p>
    <w:p>
      <w:pPr>
        <w:pStyle w:val="Heading2"/>
      </w:pPr>
      <w:r>
        <w:t>Part three · The sequence</w:t>
      </w:r>
    </w:p>
    <w:p>
      <w:r>
        <w:t>Four moves, ten phases, in order. The moves are the spine the method keeps in every market (Method Spine, canonical): audit and gap-find, baseline the before-picture, discover on the ground, synthesize. The phases are the operating procedure inside them. Each phase names its owner and what proves it finished. A phase with no proof is a phase that can be skipped by accident. The budget for a market is built on these same ten phases.</w:t>
      </w:r>
    </w:p>
    <w:p>
      <w:pPr>
        <w:pStyle w:val="Heading3"/>
      </w:pPr>
      <w:r>
        <w:t>Move 1 · Audit and gap-find</w:t>
      </w:r>
    </w:p>
    <w:p>
      <w:r>
        <w:t>What is already said about the market, and what nobody has checked.</w:t>
      </w:r>
    </w:p>
    <w:p>
      <w:pPr>
        <w:pStyle w:val="Heading4"/>
      </w:pPr>
      <w:r>
        <w:t>Phase 0 · Spin-up</w:t>
      </w:r>
    </w:p>
    <w:p>
      <w:r>
        <w:t>The project manager owns it. The market is added to the calendar with dated walls, each carrying the source it came from. A working folder is opened under the market's prefix and a citation prefix is chosen so every quotation from this market can be traced to its tape from the first day.</w:t>
      </w:r>
    </w:p>
    <w:p>
      <w:r>
        <w:t>It is finished when every date on the calendar names where it came from. A date nobody can source is a date somebody believed.</w:t>
      </w:r>
    </w:p>
    <w:p>
      <w:pPr>
        <w:pStyle w:val="Heading4"/>
      </w:pPr>
      <w:r>
        <w:t>Phase 1 · Audit and gap-find</w:t>
      </w:r>
    </w:p>
    <w:p>
      <w:r>
        <w:t>The research lead owns it. Read what the company already holds about the market. Inventory the claims it makes and find where its own figures cannot carry the value. Open the market's rows in the Claims Register: every claim, who asserts it, and what it rests on.</w:t>
      </w:r>
    </w:p>
    <w:p>
      <w:r>
        <w:t>It is finished when the market's register rows exist and every one names a source.</w:t>
      </w:r>
    </w:p>
    <w:p>
      <w:pPr>
        <w:pStyle w:val="Heading3"/>
      </w:pPr>
      <w:r>
        <w:t>Move 2 · Baseline the before-picture</w:t>
      </w:r>
    </w:p>
    <w:p>
      <w:r>
        <w:t>Where the market stood before, on an instrument every market shares.</w:t>
      </w:r>
    </w:p>
    <w:p>
      <w:pPr>
        <w:pStyle w:val="Heading4"/>
      </w:pPr>
      <w:r>
        <w:t>Phase 2 · Baseline the before-picture</w:t>
      </w:r>
    </w:p>
    <w:p>
      <w:r>
        <w:t>The research lead owns it. Establish the before-picture on the same two instruments in every market: the material delta, which is countable (jobs, tax base, infrastructure, services), and the belief delta, which is observable (what people expected, what they feared, what they say now).</w:t>
      </w:r>
    </w:p>
    <w:p>
      <w:r>
        <w:t>It is finished when both deltas are on the same instrument as every other market, so the markets can be compared.</w:t>
      </w:r>
    </w:p>
    <w:p>
      <w:pPr>
        <w:pStyle w:val="Heading3"/>
      </w:pPr>
      <w:r>
        <w:t>Move 3 · Discover on the ground</w:t>
      </w:r>
    </w:p>
    <w:p>
      <w:r>
        <w:t>The rooms, the tape, and the register that grows from them.</w:t>
      </w:r>
    </w:p>
    <w:p>
      <w:pPr>
        <w:pStyle w:val="Heading4"/>
      </w:pPr>
      <w:r>
        <w:t>Phase 3 · Champion mapping and outreach</w:t>
      </w:r>
    </w:p>
    <w:p>
      <w:r>
        <w:t>The project manager, with the research lead on who matters owns it. Map the local voices: who is trusted, who is critical, who carries a story that is not the company's. Tier them, record consent status, and open outreach through the paths that exist locally rather than cold.</w:t>
      </w:r>
    </w:p>
    <w:p>
      <w:r>
        <w:t>It is finished when every mapped voice carries a tier, a consent status and a contact path.</w:t>
      </w:r>
    </w:p>
    <w:p>
      <w:pPr>
        <w:pStyle w:val="Heading4"/>
      </w:pPr>
      <w:r>
        <w:t>Phase 4 · Discovery visit</w:t>
      </w:r>
    </w:p>
    <w:p>
      <w:r>
        <w:t>The research lead on the ground owns it. A light visit, no filming. Recorded conversations on the interview instrument, long enough for second- and third-order stories to surface. Every tape named for its market, its room size and its language before it leaves the room.</w:t>
      </w:r>
    </w:p>
    <w:p>
      <w:r>
        <w:t>It is finished when every tape is named for its market, room size and language, and its speakers are confirmed by a person who was there.</w:t>
      </w:r>
    </w:p>
    <w:p>
      <w:pPr>
        <w:pStyle w:val="Heading4"/>
      </w:pPr>
      <w:r>
        <w:t>Phase 5 · Production visit</w:t>
      </w:r>
    </w:p>
    <w:p>
      <w:r>
        <w:t>The producer (production partner), with the director running the room owns it. The production visit, after discovery has told the team who to film and what to ask. Releases and safety requirements are mandatory on any company site. Filming is what the story needs, not what the location offers.</w:t>
      </w:r>
    </w:p>
    <w:p>
      <w:r>
        <w:t>It is finished when releases on file for everyone filmed; the shot list traces to the champion map.</w:t>
      </w:r>
    </w:p>
    <w:p>
      <w:pPr>
        <w:pStyle w:val="Heading4"/>
      </w:pPr>
      <w:r>
        <w:t>Phase 6 · Capture to transcript to intel-delta</w:t>
      </w:r>
    </w:p>
    <w:p>
      <w:r>
        <w:t>The research lead owns it. Every recording is transcribed, its speakers named and checked by ear, and its factual claims registered. Each conversation produces an intelligence delta: what it changed in the market's picture. Nothing quotable is used until it is registered.</w:t>
      </w:r>
    </w:p>
    <w:p>
      <w:r>
        <w:t>It is finished when every quotable line traces to a tape and a timestamp; every figure to a register row.</w:t>
      </w:r>
    </w:p>
    <w:p>
      <w:pPr>
        <w:pStyle w:val="Heading3"/>
      </w:pPr>
      <w:r>
        <w:t>Move 4 · Synthesize</w:t>
      </w:r>
    </w:p>
    <w:p>
      <w:r>
        <w:t>The findings, the review, and what the next market inherits.</w:t>
      </w:r>
    </w:p>
    <w:p>
      <w:pPr>
        <w:pStyle w:val="Heading4"/>
      </w:pPr>
      <w:r>
        <w:t>Phase 7 · Synthesis</w:t>
      </w:r>
    </w:p>
    <w:p>
      <w:r>
        <w:t>The research lead, with editorial and design owns it. The market's report is written from the register up. A figure carries its source; a held claim does not appear on a page the client sees; the negatives are written candidly in the internal copy and the shareable copy's candour is the client's call.</w:t>
      </w:r>
    </w:p>
    <w:p>
      <w:r>
        <w:t>It is finished when the report cites the register; the checks pass before it leaves.</w:t>
      </w:r>
    </w:p>
    <w:p>
      <w:pPr>
        <w:pStyle w:val="Heading4"/>
      </w:pPr>
      <w:r>
        <w:t>Phase 8 · The review ramp</w:t>
      </w:r>
    </w:p>
    <w:p>
      <w:r>
        <w:t>The project manager owns it. The team reads before the client. Drafts go to the team in numbered tranches with a window for feedback; the client previews before every formal wall. A send that would fail the checks does not go.</w:t>
      </w:r>
    </w:p>
    <w:p>
      <w:r>
        <w:t>It is finished when the team's read is on the record before the client's; every send cleared the checks.</w:t>
      </w:r>
    </w:p>
    <w:p>
      <w:pPr>
        <w:pStyle w:val="Heading4"/>
      </w:pPr>
      <w:r>
        <w:t>Phase 9 · Close-out and codify</w:t>
      </w:r>
    </w:p>
    <w:p>
      <w:r>
        <w:t>The research lead owns it. The market closes only when what it taught is written into the learnings log and classed as universal, conditional or local. Universal and conditional entries enter the next market's kit before it opens.</w:t>
      </w:r>
    </w:p>
    <w:p>
      <w:r>
        <w:t>It is finished when the learnings log carries at least one classed entry for the market, and the next market's kit has changed because of it.</w:t>
      </w:r>
    </w:p>
    <w:p>
      <w:pPr>
        <w:pStyle w:val="Heading2"/>
      </w:pPr>
      <w:r>
        <w:t>What version two adds</w:t>
      </w:r>
    </w:p>
    <w:p>
      <w:r>
        <w:t>Version one is the practice as it was run. Version two, after the September production visits, adds the production-phase learnings from two markets filmed in the same week, the market reaction record from a return visit after an announcement, and the close-out log entries those produce. The instruments do not change unless the log says they should.</w:t>
      </w:r>
    </w:p>
    <w:p>
      <w:pPr>
        <w:pStyle w:val="SourceNote"/>
      </w:pPr>
      <w:r>
        <w:t>Assembled from the engagement's own instruments and register.</w:t>
      </w:r>
    </w:p>
    <w:sectPr>
      <w:footerReference w:type="default" r:id="rId7"/>
      <w:headerReference w:type="default" r:id="rId13"/>
      <w:headerReference w:type="first" r:id="rId14"/>
      <w:footerReference w:type="first" r:id="rId15"/>
      <w:headerReference w:type="even" r:id="rId16"/>
      <w:footerReference w:type="even" r:id="rId17"/>
      <w:pgSz w:w="12240" w:h="15840" w:orient="portrait"/>
      <w:pgMar w:top="1440"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4" w:space="4"/>
      </w:pBdr>
      <w:tabs>
        <w:tab w:val="right" w:pos="9360"/>
      </w:tabs>
    </w:pPr>
    <w:r>
      <w:rPr>
        <w:rFonts w:ascii="Roboto Mono" w:cs="Roboto Mono" w:eastAsia="Roboto Mono" w:hAnsi="Roboto Mono"/>
        <w:color w:val="5F6368"/>
        <w:sz w:val="15"/>
        <w:szCs w:val="15"/>
      </w:rPr>
      <w:t>Working document</w:t>
    </w:r>
    <w:r>
      <w:rPr>
        <w:sz w:val="15"/>
        <w:szCs w:val="15"/>
      </w:rPr>
      <w:t xml:space="preserve">	</w:t>
    </w:r>
    <w:r>
      <w:rPr>
        <w:rFonts w:ascii="Roboto Mono" w:cs="Roboto Mono" w:eastAsia="Roboto Mono" w:hAnsi="Roboto Mono"/>
        <w:color w:val="5F6368"/>
        <w:sz w:val="15"/>
        <w:szCs w:val="15"/>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Text" w:cs="Google Sans Text" w:eastAsia="Google Sans Text" w:hAnsi="Google Sans Text"/>
        <w:color w:val="202124"/>
        <w:sz w:val="21"/>
        <w:szCs w:val="21"/>
      </w:rPr>
    </w:rPrDefault>
    <w:pPrDefault/>
  </w:docDefaults>
  <w:style w:type="paragraph" w:styleId="Title">
    <w:name w:val="Title"/>
    <w:basedOn w:val="Normal"/>
    <w:next w:val="Normal"/>
    <w:pPr>
      <w:spacing w:after="120" w:line="252" w:lineRule="auto"/>
    </w:pPr>
    <w:rPr>
      <w:rFonts w:ascii="Google Sans" w:cs="Google Sans" w:eastAsia="Google Sans" w:hAnsi="Google Sans"/>
      <w:color w:val="202124"/>
      <w:sz w:val="50"/>
      <w:szCs w:val="56"/>
    </w:rPr>
  </w:style>
  <w:style w:type="paragraph" w:styleId="Heading1">
    <w:name w:val="Heading 1"/>
    <w:basedOn w:val="Normal"/>
    <w:next w:val="Normal"/>
    <w:qFormat/>
    <w:pPr>
      <w:spacing w:after="140" w:before="360" w:line="252"/>
      <w:outlineLvl w:val="0"/>
    </w:pPr>
    <w:rPr>
      <w:rFonts w:ascii="Google Sans" w:cs="Google Sans" w:eastAsia="Google Sans" w:hAnsi="Google Sans"/>
      <w:color w:val="202124"/>
      <w:sz w:val="32"/>
      <w:szCs w:val="32"/>
    </w:rPr>
  </w:style>
  <w:style w:type="paragraph" w:styleId="Heading2">
    <w:name w:val="Heading 2"/>
    <w:basedOn w:val="Normal"/>
    <w:next w:val="Normal"/>
    <w:qFormat/>
    <w:pPr>
      <w:spacing w:after="120" w:before="280" w:line="288"/>
      <w:outlineLvl w:val="1"/>
    </w:pPr>
    <w:rPr>
      <w:rFonts w:ascii="Google Sans" w:cs="Google Sans" w:eastAsia="Google Sans" w:hAnsi="Google Sans"/>
      <w:color w:val="202124"/>
      <w:sz w:val="26"/>
      <w:szCs w:val="26"/>
    </w:rPr>
  </w:style>
  <w:style w:type="paragraph" w:styleId="Heading3">
    <w:name w:val="Heading 3"/>
    <w:basedOn w:val="Normal"/>
    <w:next w:val="Normal"/>
    <w:qFormat/>
    <w:pPr>
      <w:spacing w:after="100" w:before="220"/>
      <w:outlineLvl w:val="2"/>
    </w:pPr>
    <w:rPr>
      <w:rFonts w:ascii="Google Sans" w:cs="Google Sans" w:eastAsia="Google Sans" w:hAnsi="Google Sans"/>
      <w:color w:val="5F636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276"/>
    </w:pPr>
    <w:rPr>
      <w:rFonts w:ascii="Google Sans Text" w:cs="Google Sans Text" w:eastAsia="Google Sans Text" w:hAnsi="Google Sans Text"/>
      <w:color w:val="202124"/>
      <w:sz w:val="21"/>
      <w:szCs w:val="21"/>
    </w:rPr>
  </w:style>
  <w:style w:type="paragraph" w:styleId="Eyebrow">
    <w:name w:val="Eyebrow"/>
    <w:basedOn w:val="Normal"/>
    <w:next w:val="Normal"/>
    <w:pPr>
      <w:spacing w:after="60"/>
    </w:pPr>
    <w:rPr>
      <w:rFonts w:ascii="Roboto Mono" w:cs="Roboto Mono" w:eastAsia="Roboto Mono" w:hAnsi="Roboto Mono"/>
      <w:color w:val="5F6368"/>
      <w:spacing w:val="20"/>
      <w:sz w:val="15"/>
      <w:szCs w:val="15"/>
    </w:rPr>
  </w:style>
  <w:style w:type="paragraph" w:styleId="Subtitle">
    <w:name w:val="Subtitle"/>
    <w:basedOn w:val="Normal"/>
    <w:next w:val="Normal"/>
    <w:pPr>
      <w:spacing w:after="240"/>
    </w:pPr>
    <w:rPr>
      <w:rFonts w:ascii="Google Sans" w:cs="Google Sans" w:eastAsia="Google Sans" w:hAnsi="Google Sans"/>
      <w:color w:val="5F6368"/>
      <w:sz w:val="20"/>
      <w:szCs w:val="24"/>
    </w:rPr>
  </w:style>
  <w:style w:type="paragraph" w:styleId="Callout">
    <w:name w:val="Callout"/>
    <w:basedOn w:val="Normal"/>
    <w:next w:val="Normal"/>
    <w:qFormat/>
    <w:pPr>
      <w:pBdr>
        <w:left w:val="single" w:color="4285F4" w:sz="18" w:space="8"/>
      </w:pBdr>
      <w:shd w:fill="F8F8F8" w:val="clear"/>
      <w:spacing w:after="200" w:before="160"/>
      <w:ind w:left="240" w:right="240"/>
    </w:pPr>
    <w:rPr>
      <w:color w:val="202124"/>
      <w:sz w:val="21"/>
      <w:szCs w:val="21"/>
    </w:rPr>
  </w:style>
  <w:style w:type="paragraph" w:styleId="SourceNote">
    <w:name w:val="Source Note"/>
    <w:basedOn w:val="Normal"/>
    <w:next w:val="Normal"/>
    <w:qFormat/>
    <w:pPr>
      <w:spacing w:after="80"/>
    </w:pPr>
    <w:rPr>
      <w:color w:val="5F6368"/>
      <w:sz w:val="17"/>
      <w:szCs w:val="17"/>
    </w:rPr>
  </w:style>
  <w:style w:type="character" w:styleId="MarketCB">
    <w:name w:val="Market CB"/>
    <w:uiPriority w:val="99"/>
    <w:unhideWhenUsed/>
    <w:rPr>
      <w:rFonts w:ascii="Google Sans" w:cs="Google Sans" w:eastAsia="Google Sans" w:hAnsi="Google Sans"/>
      <w:color w:val="34A853"/>
    </w:rPr>
  </w:style>
  <w:style w:type="character" w:styleId="MarketHamina">
    <w:name w:val="Market Hamina"/>
    <w:uiPriority w:val="99"/>
    <w:unhideWhenUsed/>
    <w:rPr>
      <w:rFonts w:ascii="Google Sans" w:cs="Google Sans" w:eastAsia="Google Sans" w:hAnsi="Google Sans"/>
      <w:color w:val="4285F4"/>
    </w:rPr>
  </w:style>
  <w:style w:type="character" w:styleId="MarketPryor">
    <w:name w:val="Market Pryor"/>
    <w:uiPriority w:val="99"/>
    <w:unhideWhenUsed/>
    <w:rPr>
      <w:rFonts w:ascii="Google Sans" w:cs="Google Sans" w:eastAsia="Google Sans" w:hAnsi="Google Sans"/>
      <w:color w:val="FFAB40"/>
    </w:rPr>
  </w:style>
  <w:style w:type="paragraph" w:customStyle="1" w:styleId="StatNumber">
    <w:name w:val="Stat Number"/>
    <w:basedOn w:val="Normal"/>
    <w:pPr>
      <w:spacing w:before="120" w:after="0"/>
    </w:pPr>
    <w:rPr>
      <w:b/>
      <w:i w:val="0"/>
      <w:color w:val="1A73E8"/>
      <w:sz w:val="60"/>
    </w:rPr>
  </w:style>
  <w:style w:type="paragraph" w:customStyle="1" w:styleId="StatLabel">
    <w:name w:val="Stat Label"/>
    <w:basedOn w:val="Normal"/>
    <w:pPr>
      <w:spacing w:before="0" w:after="120"/>
    </w:pPr>
    <w:rPr>
      <w:b/>
      <w:i w:val="0"/>
      <w:color w:val="202124"/>
      <w:sz w:val="21"/>
    </w:rPr>
  </w:style>
  <w:style w:type="paragraph" w:customStyle="1" w:styleId="StatNote">
    <w:name w:val="Stat Note"/>
    <w:basedOn w:val="Normal"/>
    <w:pPr>
      <w:spacing w:before="0" w:after="160"/>
    </w:pPr>
    <w:rPr>
      <w:b w:val="0"/>
      <w:i w:val="0"/>
      <w:color w:val="5F6368"/>
      <w:sz w:val="18"/>
    </w:rPr>
  </w:style>
  <w:style w:type="paragraph" w:customStyle="1" w:styleId="PullQuote">
    <w:name w:val="Pull Quote"/>
    <w:basedOn w:val="Normal"/>
    <w:pPr>
      <w:spacing w:before="240" w:after="40"/>
      <w:ind w:left="576"/>
    </w:pPr>
    <w:rPr>
      <w:b w:val="0"/>
      <w:i w:val="0"/>
      <w:color w:val="1A73E8"/>
      <w:sz w:val="34"/>
    </w:rPr>
  </w:style>
  <w:style w:type="paragraph" w:customStyle="1" w:styleId="PullQuoteAttribution">
    <w:name w:val="Pull Quote Attribution"/>
    <w:basedOn w:val="Normal"/>
    <w:pPr>
      <w:spacing w:before="0" w:after="240"/>
      <w:ind w:left="576"/>
    </w:pPr>
    <w:rPr>
      <w:b w:val="0"/>
      <w:i w:val="0"/>
      <w:color w:val="5F6368"/>
      <w:sz w:val="19"/>
    </w:rPr>
  </w:style>
  <w:style w:type="paragraph" w:customStyle="1" w:styleId="PlaceholderLabel">
    <w:name w:val="Placeholder Label"/>
    <w:basedOn w:val="Normal"/>
    <w:pPr>
      <w:spacing w:before="40" w:after="200"/>
    </w:pPr>
    <w:rPr>
      <w:b w:val="0"/>
      <w:i/>
      <w:color w:val="80868B"/>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2026-07-15T19:32:00.325Z</dcterms:created>
  <dcterms:modified xsi:type="dcterms:W3CDTF">2026-07-15T19:32:00.326Z</dcterms:modified>
</cp:coreProperties>
</file>

<file path=docProps/custom.xml><?xml version="1.0" encoding="utf-8"?>
<Properties xmlns="http://schemas.openxmlformats.org/officeDocument/2006/custom-properties" xmlns:vt="http://schemas.openxmlformats.org/officeDocument/2006/docPropsVTypes"/>
</file>