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F4" w:rsidRPr="00BF07F4" w:rsidRDefault="00BF07F4" w:rsidP="00BF07F4">
      <w:pPr>
        <w:rPr>
          <w:rFonts w:ascii="Times New Roman" w:eastAsia="Times New Roman" w:hAnsi="Times New Roman" w:cs="Times New Roman"/>
          <w:sz w:val="20"/>
          <w:szCs w:val="20"/>
        </w:rPr>
      </w:pPr>
    </w:p>
    <w:p w:rsidR="00BF07F4" w:rsidRPr="00BF07F4" w:rsidRDefault="00BF07F4" w:rsidP="00BF07F4">
      <w:pPr>
        <w:jc w:val="center"/>
        <w:rPr>
          <w:rFonts w:ascii="Times New Roman" w:hAnsi="Times New Roman" w:cs="Times New Roman"/>
          <w:sz w:val="20"/>
          <w:szCs w:val="20"/>
        </w:rPr>
      </w:pPr>
      <w:r w:rsidRPr="00BF07F4">
        <w:rPr>
          <w:rFonts w:ascii="Times New Roman" w:hAnsi="Times New Roman" w:cs="Times New Roman"/>
          <w:color w:val="FFFFFF"/>
          <w:sz w:val="8"/>
          <w:szCs w:val="8"/>
          <w:shd w:val="clear" w:color="auto" w:fill="000000"/>
        </w:rPr>
        <w:t> </w:t>
      </w:r>
    </w:p>
    <w:p w:rsidR="00BF07F4" w:rsidRPr="00BF07F4" w:rsidRDefault="00BF07F4" w:rsidP="00BF07F4">
      <w:pPr>
        <w:rPr>
          <w:rFonts w:ascii="Times New Roman" w:eastAsia="Times New Roman" w:hAnsi="Times New Roman" w:cs="Times New Roman"/>
          <w:sz w:val="20"/>
          <w:szCs w:val="20"/>
        </w:rPr>
      </w:pPr>
    </w:p>
    <w:p w:rsidR="00BF07F4" w:rsidRPr="00BF07F4" w:rsidRDefault="00BF07F4" w:rsidP="00BF07F4">
      <w:pPr>
        <w:jc w:val="center"/>
        <w:rPr>
          <w:rFonts w:ascii="Times New Roman" w:hAnsi="Times New Roman" w:cs="Times New Roman"/>
          <w:sz w:val="20"/>
          <w:szCs w:val="20"/>
        </w:rPr>
      </w:pPr>
      <w:r w:rsidRPr="00BF07F4">
        <w:rPr>
          <w:rFonts w:ascii="Quattrocento" w:hAnsi="Quattrocento" w:cs="Times New Roman"/>
          <w:b/>
          <w:bCs/>
          <w:color w:val="000000"/>
          <w:sz w:val="28"/>
          <w:szCs w:val="28"/>
        </w:rPr>
        <w:t>Technology for Teaching and Learning (St. Paul)</w:t>
      </w:r>
    </w:p>
    <w:p w:rsidR="00BF07F4" w:rsidRPr="00BF07F4" w:rsidRDefault="00BF07F4" w:rsidP="00BF07F4">
      <w:pPr>
        <w:jc w:val="center"/>
        <w:rPr>
          <w:rFonts w:ascii="Times New Roman" w:hAnsi="Times New Roman" w:cs="Times New Roman"/>
          <w:sz w:val="20"/>
          <w:szCs w:val="20"/>
        </w:rPr>
      </w:pPr>
      <w:r w:rsidRPr="00BF07F4">
        <w:rPr>
          <w:rFonts w:ascii="Quattrocento" w:hAnsi="Quattrocento" w:cs="Times New Roman"/>
          <w:b/>
          <w:bCs/>
          <w:color w:val="000000"/>
          <w:sz w:val="28"/>
          <w:szCs w:val="28"/>
        </w:rPr>
        <w:t xml:space="preserve">Summer 2019  </w:t>
      </w:r>
      <w:proofErr w:type="gramStart"/>
      <w:r w:rsidRPr="00BF07F4">
        <w:rPr>
          <w:rFonts w:ascii="Quattrocento" w:hAnsi="Quattrocento" w:cs="Times New Roman"/>
          <w:b/>
          <w:bCs/>
          <w:color w:val="000000"/>
        </w:rPr>
        <w:t>*</w:t>
      </w:r>
      <w:r w:rsidRPr="00BF07F4">
        <w:rPr>
          <w:rFonts w:ascii="Quattrocento" w:hAnsi="Quattrocento" w:cs="Times New Roman"/>
          <w:b/>
          <w:bCs/>
          <w:color w:val="000000"/>
          <w:sz w:val="28"/>
          <w:szCs w:val="28"/>
        </w:rPr>
        <w:t>  CI</w:t>
      </w:r>
      <w:proofErr w:type="gramEnd"/>
      <w:r w:rsidRPr="00BF07F4">
        <w:rPr>
          <w:rFonts w:ascii="Quattrocento" w:hAnsi="Quattrocento" w:cs="Times New Roman"/>
          <w:b/>
          <w:bCs/>
          <w:color w:val="000000"/>
          <w:sz w:val="28"/>
          <w:szCs w:val="28"/>
        </w:rPr>
        <w:t xml:space="preserve"> 5307 - R260 Lab</w:t>
      </w:r>
    </w:p>
    <w:p w:rsidR="00BF07F4" w:rsidRPr="00BF07F4" w:rsidRDefault="00BF07F4" w:rsidP="00BF07F4">
      <w:pPr>
        <w:spacing w:after="240"/>
        <w:rPr>
          <w:rFonts w:ascii="Times New Roman" w:eastAsia="Times New Roman" w:hAnsi="Times New Roman" w:cs="Times New Roman"/>
          <w:sz w:val="20"/>
          <w:szCs w:val="20"/>
        </w:rPr>
      </w:pPr>
      <w:r w:rsidRPr="00BF07F4">
        <w:rPr>
          <w:rFonts w:ascii="Times New Roman" w:eastAsia="Times New Roman" w:hAnsi="Times New Roman" w:cs="Times New Roman"/>
          <w:sz w:val="20"/>
          <w:szCs w:val="20"/>
        </w:rPr>
        <w:br/>
      </w: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b/>
          <w:bCs/>
          <w:color w:val="000000"/>
        </w:rPr>
        <w:t xml:space="preserve">Instructor </w:t>
      </w:r>
      <w:r w:rsidRPr="00BF07F4">
        <w:rPr>
          <w:rFonts w:ascii="Quattrocento" w:hAnsi="Quattrocento" w:cs="Times New Roman"/>
          <w:b/>
          <w:bCs/>
          <w:color w:val="000000"/>
        </w:rPr>
        <w:tab/>
      </w:r>
      <w:r w:rsidRPr="00BF07F4">
        <w:rPr>
          <w:rFonts w:ascii="Quattrocento" w:hAnsi="Quattrocento" w:cs="Times New Roman"/>
          <w:b/>
          <w:bCs/>
          <w:color w:val="000000"/>
        </w:rPr>
        <w:tab/>
      </w:r>
      <w:r w:rsidRPr="00BF07F4">
        <w:rPr>
          <w:rFonts w:ascii="Quattrocento" w:hAnsi="Quattrocento" w:cs="Times New Roman"/>
          <w:b/>
          <w:bCs/>
          <w:color w:val="000000"/>
        </w:rPr>
        <w:tab/>
      </w:r>
      <w:r w:rsidRPr="00BF07F4">
        <w:rPr>
          <w:rFonts w:ascii="Quattrocento" w:hAnsi="Quattrocento" w:cs="Times New Roman"/>
          <w:b/>
          <w:bCs/>
          <w:color w:val="000000"/>
        </w:rPr>
        <w:tab/>
      </w:r>
      <w:r w:rsidRPr="00BF07F4">
        <w:rPr>
          <w:rFonts w:ascii="Quattrocento" w:hAnsi="Quattrocento" w:cs="Times New Roman"/>
          <w:b/>
          <w:bCs/>
          <w:color w:val="000000"/>
        </w:rPr>
        <w:tab/>
      </w:r>
      <w:r w:rsidRPr="00BF07F4">
        <w:rPr>
          <w:rFonts w:ascii="Quattrocento" w:hAnsi="Quattrocento" w:cs="Times New Roman"/>
          <w:b/>
          <w:bCs/>
          <w:color w:val="000000"/>
        </w:rPr>
        <w:tab/>
      </w:r>
      <w:r w:rsidRPr="00BF07F4">
        <w:rPr>
          <w:rFonts w:ascii="Quattrocento" w:hAnsi="Quattrocento" w:cs="Times New Roman"/>
          <w:b/>
          <w:bCs/>
          <w:color w:val="000000"/>
        </w:rPr>
        <w:tab/>
      </w:r>
      <w:r w:rsidRPr="00BF07F4">
        <w:rPr>
          <w:rFonts w:ascii="Quattrocento" w:hAnsi="Quattrocento" w:cs="Times New Roman"/>
          <w:b/>
          <w:bCs/>
          <w:color w:val="000000"/>
        </w:rPr>
        <w:tab/>
        <w:t>Lab Assistant and Hours</w:t>
      </w:r>
    </w:p>
    <w:p w:rsidR="00BF07F4" w:rsidRPr="00BF07F4" w:rsidRDefault="00BF07F4" w:rsidP="00BF07F4">
      <w:pPr>
        <w:rPr>
          <w:rFonts w:ascii="Times New Roman" w:eastAsia="Times New Roman" w:hAnsi="Times New Roman" w:cs="Times New Roman"/>
          <w:sz w:val="20"/>
          <w:szCs w:val="20"/>
        </w:rPr>
      </w:pP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b/>
          <w:bCs/>
          <w:color w:val="000000"/>
          <w:sz w:val="20"/>
          <w:szCs w:val="20"/>
        </w:rPr>
        <w:t>Rob Olson</w:t>
      </w:r>
      <w:r w:rsidRPr="00BF07F4">
        <w:rPr>
          <w:rFonts w:ascii="Quattrocento" w:hAnsi="Quattrocento" w:cs="Times New Roman"/>
          <w:b/>
          <w:bCs/>
          <w:color w:val="000000"/>
          <w:sz w:val="20"/>
          <w:szCs w:val="20"/>
        </w:rPr>
        <w:tab/>
      </w:r>
      <w:r w:rsidRPr="00BF07F4">
        <w:rPr>
          <w:rFonts w:ascii="Quattrocento" w:hAnsi="Quattrocento" w:cs="Times New Roman"/>
          <w:b/>
          <w:bCs/>
          <w:color w:val="000000"/>
          <w:sz w:val="20"/>
          <w:szCs w:val="20"/>
        </w:rPr>
        <w:tab/>
      </w:r>
      <w:r w:rsidRPr="00BF07F4">
        <w:rPr>
          <w:rFonts w:ascii="Quattrocento" w:hAnsi="Quattrocento" w:cs="Times New Roman"/>
          <w:b/>
          <w:bCs/>
          <w:color w:val="000000"/>
          <w:sz w:val="20"/>
          <w:szCs w:val="20"/>
        </w:rPr>
        <w:tab/>
      </w:r>
      <w:r w:rsidRPr="00BF07F4">
        <w:rPr>
          <w:rFonts w:ascii="Quattrocento" w:hAnsi="Quattrocento" w:cs="Times New Roman"/>
          <w:b/>
          <w:bCs/>
          <w:color w:val="000000"/>
          <w:sz w:val="20"/>
          <w:szCs w:val="20"/>
        </w:rPr>
        <w:tab/>
      </w:r>
      <w:r w:rsidRPr="00BF07F4">
        <w:rPr>
          <w:rFonts w:ascii="Quattrocento" w:hAnsi="Quattrocento" w:cs="Times New Roman"/>
          <w:b/>
          <w:bCs/>
          <w:color w:val="000000"/>
          <w:sz w:val="20"/>
          <w:szCs w:val="20"/>
        </w:rPr>
        <w:tab/>
      </w:r>
      <w:r w:rsidRPr="00BF07F4">
        <w:rPr>
          <w:rFonts w:ascii="Quattrocento" w:hAnsi="Quattrocento" w:cs="Times New Roman"/>
          <w:b/>
          <w:bCs/>
          <w:color w:val="000000"/>
          <w:sz w:val="20"/>
          <w:szCs w:val="20"/>
        </w:rPr>
        <w:tab/>
      </w:r>
      <w:r w:rsidRPr="00BF07F4">
        <w:rPr>
          <w:rFonts w:ascii="Quattrocento" w:hAnsi="Quattrocento" w:cs="Times New Roman"/>
          <w:b/>
          <w:bCs/>
          <w:color w:val="000000"/>
          <w:sz w:val="20"/>
          <w:szCs w:val="20"/>
        </w:rPr>
        <w:tab/>
      </w:r>
      <w:r w:rsidRPr="00BF07F4">
        <w:rPr>
          <w:rFonts w:ascii="Quattrocento" w:hAnsi="Quattrocento" w:cs="Times New Roman"/>
          <w:b/>
          <w:bCs/>
          <w:color w:val="000000"/>
          <w:sz w:val="20"/>
          <w:szCs w:val="20"/>
        </w:rPr>
        <w:tab/>
        <w:t>Rukmini Avadhanam</w:t>
      </w: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color w:val="000000"/>
          <w:sz w:val="20"/>
          <w:szCs w:val="20"/>
        </w:rPr>
        <w:t>R 260</w:t>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t>Learning &amp; Environmental Sciences Building</w:t>
      </w: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color w:val="000000"/>
          <w:sz w:val="20"/>
          <w:szCs w:val="20"/>
        </w:rPr>
        <w:t xml:space="preserve">Learning &amp; Environmental Science (LES) Bldg </w:t>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t xml:space="preserve">Office/Lab Hours: </w:t>
      </w:r>
      <w:hyperlink r:id="rId6" w:history="1">
        <w:r w:rsidRPr="00BF07F4">
          <w:rPr>
            <w:rFonts w:ascii="Quattrocento" w:hAnsi="Quattrocento" w:cs="Times New Roman"/>
            <w:color w:val="1155CC"/>
            <w:sz w:val="20"/>
            <w:szCs w:val="20"/>
            <w:u w:val="single"/>
          </w:rPr>
          <w:t>Calendar Link</w:t>
        </w:r>
      </w:hyperlink>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color w:val="000000"/>
          <w:sz w:val="20"/>
          <w:szCs w:val="20"/>
        </w:rPr>
        <w:t>Office hours by appointment via: Skype, Google Chat, and F2F</w:t>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t xml:space="preserve">E-mail: </w:t>
      </w:r>
      <w:hyperlink r:id="rId7" w:history="1">
        <w:r w:rsidRPr="00BF07F4">
          <w:rPr>
            <w:rFonts w:ascii="Quattrocento" w:hAnsi="Quattrocento" w:cs="Times New Roman"/>
            <w:color w:val="1155CC"/>
            <w:sz w:val="20"/>
            <w:szCs w:val="20"/>
            <w:u w:val="single"/>
          </w:rPr>
          <w:t>olso7321@umn.edu</w:t>
        </w:r>
        <w:r w:rsidRPr="00BF07F4">
          <w:rPr>
            <w:rFonts w:ascii="Quattrocento" w:hAnsi="Quattrocento" w:cs="Times New Roman"/>
            <w:color w:val="1155CC"/>
            <w:sz w:val="20"/>
            <w:szCs w:val="20"/>
            <w:u w:val="single"/>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r w:rsidRPr="00BF07F4">
          <w:rPr>
            <w:rFonts w:ascii="Quattrocento" w:hAnsi="Quattrocento" w:cs="Times New Roman"/>
            <w:color w:val="000000"/>
            <w:sz w:val="20"/>
            <w:szCs w:val="20"/>
          </w:rPr>
          <w:tab/>
        </w:r>
      </w:hyperlink>
      <w:r w:rsidRPr="00BF07F4">
        <w:rPr>
          <w:rFonts w:ascii="Quattrocento" w:hAnsi="Quattrocento" w:cs="Times New Roman"/>
          <w:color w:val="000000"/>
          <w:sz w:val="20"/>
          <w:szCs w:val="20"/>
        </w:rPr>
        <w:t xml:space="preserve">Email: </w:t>
      </w:r>
      <w:hyperlink r:id="rId8" w:history="1">
        <w:r w:rsidRPr="00BF07F4">
          <w:rPr>
            <w:rFonts w:ascii="Arial" w:hAnsi="Arial" w:cs="Arial"/>
            <w:color w:val="1155CC"/>
            <w:sz w:val="18"/>
            <w:szCs w:val="18"/>
            <w:u w:val="single"/>
            <w:shd w:val="clear" w:color="auto" w:fill="FFFFFF"/>
          </w:rPr>
          <w:t>avadh005@umn.edu</w:t>
        </w:r>
      </w:hyperlink>
    </w:p>
    <w:p w:rsidR="00BF07F4" w:rsidRPr="00BF07F4" w:rsidRDefault="00BF07F4" w:rsidP="00BF07F4">
      <w:pPr>
        <w:rPr>
          <w:rFonts w:ascii="Times New Roman" w:eastAsia="Times New Roman" w:hAnsi="Times New Roman" w:cs="Times New Roman"/>
          <w:sz w:val="20"/>
          <w:szCs w:val="20"/>
        </w:rPr>
      </w:pP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b/>
          <w:bCs/>
          <w:color w:val="000000"/>
        </w:rPr>
        <w:t>College of Education &amp; Human Development Mission and Vision</w:t>
      </w: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color w:val="000000"/>
          <w:sz w:val="20"/>
          <w:szCs w:val="20"/>
        </w:rPr>
        <w:t>The new College of Education and Human Development is a world leader in discovering, creating, sharing, and </w:t>
      </w:r>
    </w:p>
    <w:p w:rsidR="00BF07F4" w:rsidRPr="00BF07F4" w:rsidRDefault="00BF07F4" w:rsidP="00BF07F4">
      <w:pPr>
        <w:rPr>
          <w:rFonts w:ascii="Times New Roman" w:hAnsi="Times New Roman" w:cs="Times New Roman"/>
          <w:sz w:val="20"/>
          <w:szCs w:val="20"/>
        </w:rPr>
      </w:pPr>
      <w:proofErr w:type="gramStart"/>
      <w:r w:rsidRPr="00BF07F4">
        <w:rPr>
          <w:rFonts w:ascii="Quattrocento" w:hAnsi="Quattrocento" w:cs="Times New Roman"/>
          <w:color w:val="000000"/>
          <w:sz w:val="20"/>
          <w:szCs w:val="20"/>
        </w:rPr>
        <w:t>applying</w:t>
      </w:r>
      <w:proofErr w:type="gramEnd"/>
      <w:r w:rsidRPr="00BF07F4">
        <w:rPr>
          <w:rFonts w:ascii="Quattrocento" w:hAnsi="Quattrocento" w:cs="Times New Roman"/>
          <w:color w:val="000000"/>
          <w:sz w:val="20"/>
          <w:szCs w:val="20"/>
        </w:rPr>
        <w:t xml:space="preserve"> principles and practices of multiculturalism and multidisciplinary scholarship to advance teaching and </w:t>
      </w:r>
    </w:p>
    <w:p w:rsidR="00BF07F4" w:rsidRPr="00BF07F4" w:rsidRDefault="00BF07F4" w:rsidP="00BF07F4">
      <w:pPr>
        <w:rPr>
          <w:rFonts w:ascii="Times New Roman" w:hAnsi="Times New Roman" w:cs="Times New Roman"/>
          <w:sz w:val="20"/>
          <w:szCs w:val="20"/>
        </w:rPr>
      </w:pPr>
      <w:proofErr w:type="gramStart"/>
      <w:r w:rsidRPr="00BF07F4">
        <w:rPr>
          <w:rFonts w:ascii="Quattrocento" w:hAnsi="Quattrocento" w:cs="Times New Roman"/>
          <w:color w:val="000000"/>
          <w:sz w:val="20"/>
          <w:szCs w:val="20"/>
        </w:rPr>
        <w:t>learning</w:t>
      </w:r>
      <w:proofErr w:type="gramEnd"/>
      <w:r w:rsidRPr="00BF07F4">
        <w:rPr>
          <w:rFonts w:ascii="Quattrocento" w:hAnsi="Quattrocento" w:cs="Times New Roman"/>
          <w:color w:val="000000"/>
          <w:sz w:val="20"/>
          <w:szCs w:val="20"/>
        </w:rPr>
        <w:t xml:space="preserve"> and to enhance the psychological, physical, and social development of children, youth, and adults </w:t>
      </w:r>
    </w:p>
    <w:p w:rsidR="00BF07F4" w:rsidRPr="00BF07F4" w:rsidRDefault="00BF07F4" w:rsidP="00BF07F4">
      <w:pPr>
        <w:rPr>
          <w:rFonts w:ascii="Times New Roman" w:hAnsi="Times New Roman" w:cs="Times New Roman"/>
          <w:sz w:val="20"/>
          <w:szCs w:val="20"/>
        </w:rPr>
      </w:pPr>
      <w:proofErr w:type="gramStart"/>
      <w:r w:rsidRPr="00BF07F4">
        <w:rPr>
          <w:rFonts w:ascii="Quattrocento" w:hAnsi="Quattrocento" w:cs="Times New Roman"/>
          <w:color w:val="000000"/>
          <w:sz w:val="20"/>
          <w:szCs w:val="20"/>
        </w:rPr>
        <w:t>across</w:t>
      </w:r>
      <w:proofErr w:type="gramEnd"/>
      <w:r w:rsidRPr="00BF07F4">
        <w:rPr>
          <w:rFonts w:ascii="Quattrocento" w:hAnsi="Quattrocento" w:cs="Times New Roman"/>
          <w:color w:val="000000"/>
          <w:sz w:val="20"/>
          <w:szCs w:val="20"/>
        </w:rPr>
        <w:t xml:space="preserve"> the lifespan in families, organizations, and communities.</w:t>
      </w: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color w:val="000000"/>
          <w:sz w:val="20"/>
          <w:szCs w:val="20"/>
        </w:rPr>
        <w:t> </w:t>
      </w: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b/>
          <w:bCs/>
          <w:color w:val="000000"/>
        </w:rPr>
        <w:t>Conceptual Framework for P-12 Professional Education Programs</w:t>
      </w: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color w:val="000000"/>
          <w:sz w:val="20"/>
          <w:szCs w:val="20"/>
        </w:rPr>
        <w:t>The central themes of the conceptual framework are:</w:t>
      </w:r>
    </w:p>
    <w:p w:rsidR="00BF07F4" w:rsidRPr="00BF07F4" w:rsidRDefault="00BF07F4" w:rsidP="00BF07F4">
      <w:pPr>
        <w:numPr>
          <w:ilvl w:val="0"/>
          <w:numId w:val="1"/>
        </w:numPr>
        <w:textAlignment w:val="baseline"/>
        <w:rPr>
          <w:rFonts w:ascii="Arial" w:hAnsi="Arial" w:cs="Arial"/>
          <w:color w:val="000000"/>
          <w:sz w:val="20"/>
          <w:szCs w:val="20"/>
        </w:rPr>
      </w:pPr>
      <w:proofErr w:type="gramStart"/>
      <w:r w:rsidRPr="00BF07F4">
        <w:rPr>
          <w:rFonts w:ascii="Quattrocento" w:hAnsi="Quattrocento" w:cs="Arial"/>
          <w:color w:val="000000"/>
          <w:sz w:val="20"/>
          <w:szCs w:val="20"/>
        </w:rPr>
        <w:t>promoting</w:t>
      </w:r>
      <w:proofErr w:type="gramEnd"/>
      <w:r w:rsidRPr="00BF07F4">
        <w:rPr>
          <w:rFonts w:ascii="Quattrocento" w:hAnsi="Quattrocento" w:cs="Arial"/>
          <w:color w:val="000000"/>
          <w:sz w:val="20"/>
          <w:szCs w:val="20"/>
        </w:rPr>
        <w:t xml:space="preserve"> inquiry, research, and reflection;</w:t>
      </w:r>
    </w:p>
    <w:p w:rsidR="00BF07F4" w:rsidRPr="00BF07F4" w:rsidRDefault="00BF07F4" w:rsidP="00BF07F4">
      <w:pPr>
        <w:numPr>
          <w:ilvl w:val="0"/>
          <w:numId w:val="1"/>
        </w:numPr>
        <w:textAlignment w:val="baseline"/>
        <w:rPr>
          <w:rFonts w:ascii="Arial" w:hAnsi="Arial" w:cs="Arial"/>
          <w:color w:val="000000"/>
          <w:sz w:val="20"/>
          <w:szCs w:val="20"/>
        </w:rPr>
      </w:pPr>
      <w:proofErr w:type="gramStart"/>
      <w:r w:rsidRPr="00BF07F4">
        <w:rPr>
          <w:rFonts w:ascii="Quattrocento" w:hAnsi="Quattrocento" w:cs="Arial"/>
          <w:color w:val="000000"/>
          <w:sz w:val="20"/>
          <w:szCs w:val="20"/>
        </w:rPr>
        <w:t>honoring</w:t>
      </w:r>
      <w:proofErr w:type="gramEnd"/>
      <w:r w:rsidRPr="00BF07F4">
        <w:rPr>
          <w:rFonts w:ascii="Quattrocento" w:hAnsi="Quattrocento" w:cs="Arial"/>
          <w:color w:val="000000"/>
          <w:sz w:val="20"/>
          <w:szCs w:val="20"/>
        </w:rPr>
        <w:t xml:space="preserve"> the diversity of our communities and learners; and</w:t>
      </w:r>
    </w:p>
    <w:p w:rsidR="00BF07F4" w:rsidRPr="00BF07F4" w:rsidRDefault="00BF07F4" w:rsidP="00BF07F4">
      <w:pPr>
        <w:numPr>
          <w:ilvl w:val="0"/>
          <w:numId w:val="1"/>
        </w:numPr>
        <w:textAlignment w:val="baseline"/>
        <w:rPr>
          <w:rFonts w:ascii="Arial" w:hAnsi="Arial" w:cs="Arial"/>
          <w:color w:val="000000"/>
          <w:sz w:val="20"/>
          <w:szCs w:val="20"/>
        </w:rPr>
      </w:pPr>
      <w:proofErr w:type="gramStart"/>
      <w:r w:rsidRPr="00BF07F4">
        <w:rPr>
          <w:rFonts w:ascii="Quattrocento" w:hAnsi="Quattrocento" w:cs="Arial"/>
          <w:color w:val="000000"/>
          <w:sz w:val="20"/>
          <w:szCs w:val="20"/>
        </w:rPr>
        <w:t>fostering</w:t>
      </w:r>
      <w:proofErr w:type="gramEnd"/>
      <w:r w:rsidRPr="00BF07F4">
        <w:rPr>
          <w:rFonts w:ascii="Quattrocento" w:hAnsi="Quattrocento" w:cs="Arial"/>
          <w:color w:val="000000"/>
          <w:sz w:val="20"/>
          <w:szCs w:val="20"/>
        </w:rPr>
        <w:t xml:space="preserve"> a commitment to lifelong learning and professional development.</w:t>
      </w:r>
      <w:r w:rsidRPr="00BF07F4">
        <w:rPr>
          <w:rFonts w:ascii="Quattrocento" w:hAnsi="Quattrocento" w:cs="Arial"/>
          <w:color w:val="000000"/>
          <w:sz w:val="20"/>
          <w:szCs w:val="20"/>
        </w:rPr>
        <w:br/>
      </w:r>
      <w:r w:rsidRPr="00BF07F4">
        <w:rPr>
          <w:rFonts w:ascii="Quattrocento" w:hAnsi="Quattrocento" w:cs="Arial"/>
          <w:color w:val="000000"/>
          <w:sz w:val="20"/>
          <w:szCs w:val="20"/>
        </w:rPr>
        <w:br/>
      </w: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color w:val="000000"/>
          <w:sz w:val="20"/>
          <w:szCs w:val="20"/>
        </w:rPr>
        <w:t>CI 5307 promotes inquiry through investigating the effective uses of technology in education; fosters reflection with every performance assessment as the students discuss their learning processes and the impact of technology integration in their future classrooms; celebrates the diversity of the class, society, and our future classrooms; and encourages lifelong learning and professional development.</w:t>
      </w:r>
    </w:p>
    <w:p w:rsidR="00BF07F4" w:rsidRPr="00BF07F4" w:rsidRDefault="00BF07F4" w:rsidP="00BF07F4">
      <w:pPr>
        <w:rPr>
          <w:rFonts w:ascii="Times New Roman" w:eastAsia="Times New Roman" w:hAnsi="Times New Roman" w:cs="Times New Roman"/>
          <w:sz w:val="20"/>
          <w:szCs w:val="20"/>
        </w:rPr>
      </w:pP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b/>
          <w:bCs/>
          <w:color w:val="000000"/>
        </w:rPr>
        <w:t>Minnesota Standards of Effective Practice for Teachers</w:t>
      </w: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color w:val="000000"/>
          <w:sz w:val="20"/>
          <w:szCs w:val="20"/>
        </w:rPr>
        <w:t>This course address the following Minnesota Standards of Effective Practice for Teachers centered on </w:t>
      </w:r>
    </w:p>
    <w:p w:rsidR="00BF07F4" w:rsidRPr="00BF07F4" w:rsidRDefault="00BF07F4" w:rsidP="00BF07F4">
      <w:pPr>
        <w:rPr>
          <w:rFonts w:ascii="Times New Roman" w:hAnsi="Times New Roman" w:cs="Times New Roman"/>
          <w:sz w:val="20"/>
          <w:szCs w:val="20"/>
        </w:rPr>
      </w:pPr>
      <w:proofErr w:type="gramStart"/>
      <w:r w:rsidRPr="00BF07F4">
        <w:rPr>
          <w:rFonts w:ascii="Quattrocento" w:hAnsi="Quattrocento" w:cs="Times New Roman"/>
          <w:color w:val="000000"/>
          <w:sz w:val="20"/>
          <w:szCs w:val="20"/>
        </w:rPr>
        <w:t>technology</w:t>
      </w:r>
      <w:proofErr w:type="gramEnd"/>
      <w:r w:rsidRPr="00BF07F4">
        <w:rPr>
          <w:rFonts w:ascii="Quattrocento" w:hAnsi="Quattrocento" w:cs="Times New Roman"/>
          <w:color w:val="000000"/>
          <w:sz w:val="20"/>
          <w:szCs w:val="20"/>
        </w:rPr>
        <w:t xml:space="preserve"> integration in at least one course reading, activity, and/or assignment.</w:t>
      </w:r>
    </w:p>
    <w:p w:rsidR="00BF07F4" w:rsidRPr="00BF07F4" w:rsidRDefault="00BF07F4" w:rsidP="00BF07F4">
      <w:pPr>
        <w:rPr>
          <w:rFonts w:ascii="Times New Roman" w:eastAsia="Times New Roman" w:hAnsi="Times New Roman" w:cs="Times New Roman"/>
          <w:sz w:val="20"/>
          <w:szCs w:val="20"/>
        </w:rPr>
      </w:pP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b/>
          <w:bCs/>
          <w:color w:val="000000"/>
          <w:sz w:val="20"/>
          <w:szCs w:val="20"/>
        </w:rPr>
        <w:t>Standard 2, Student Learning, 3H:</w:t>
      </w:r>
      <w:r w:rsidRPr="00BF07F4">
        <w:rPr>
          <w:rFonts w:ascii="Quattrocento" w:hAnsi="Quattrocento" w:cs="Times New Roman"/>
          <w:color w:val="000000"/>
          <w:sz w:val="20"/>
          <w:szCs w:val="20"/>
        </w:rPr>
        <w:t>  A teacher must understand how students learn and develop and must provide learning opportunities that support a student’s intellectual, social, and personal development. The teacher must demonstrate knowledge and understanding of concepts related to technology and student learning.</w:t>
      </w:r>
    </w:p>
    <w:p w:rsidR="00BF07F4" w:rsidRPr="00BF07F4" w:rsidRDefault="00BF07F4" w:rsidP="00BF07F4">
      <w:pPr>
        <w:rPr>
          <w:rFonts w:ascii="Times New Roman" w:eastAsia="Times New Roman" w:hAnsi="Times New Roman" w:cs="Times New Roman"/>
          <w:sz w:val="20"/>
          <w:szCs w:val="20"/>
        </w:rPr>
      </w:pP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b/>
          <w:bCs/>
          <w:color w:val="000000"/>
          <w:sz w:val="20"/>
          <w:szCs w:val="20"/>
        </w:rPr>
        <w:t>Standard 3, Diverse Learners, 4D</w:t>
      </w:r>
      <w:r w:rsidRPr="00BF07F4">
        <w:rPr>
          <w:rFonts w:ascii="Quattrocento" w:hAnsi="Quattrocento" w:cs="Times New Roman"/>
          <w:color w:val="000000"/>
          <w:sz w:val="20"/>
          <w:szCs w:val="20"/>
        </w:rPr>
        <w:t>: A teacher must understand how students differ in their approaches to learning and create instructional opportunities that are adapted to students with diverse backgrounds and exceptionalities.  The teacher must understand how to recognize and deal with dehumanizing biases, prejudices, and institutional and personal racism and sexism.</w:t>
      </w:r>
    </w:p>
    <w:p w:rsidR="00BF07F4" w:rsidRPr="00BF07F4" w:rsidRDefault="00BF07F4" w:rsidP="00BF07F4">
      <w:pPr>
        <w:rPr>
          <w:rFonts w:ascii="Times New Roman" w:eastAsia="Times New Roman" w:hAnsi="Times New Roman" w:cs="Times New Roman"/>
          <w:sz w:val="20"/>
          <w:szCs w:val="20"/>
        </w:rPr>
      </w:pPr>
    </w:p>
    <w:p w:rsidR="00BF07F4" w:rsidRPr="00BF07F4" w:rsidRDefault="00BF07F4" w:rsidP="00BF07F4">
      <w:pPr>
        <w:rPr>
          <w:rFonts w:ascii="Times New Roman" w:hAnsi="Times New Roman" w:cs="Times New Roman"/>
          <w:sz w:val="20"/>
          <w:szCs w:val="20"/>
        </w:rPr>
      </w:pPr>
      <w:r w:rsidRPr="00BF07F4">
        <w:rPr>
          <w:rFonts w:ascii="Quattrocento" w:hAnsi="Quattrocento" w:cs="Times New Roman"/>
          <w:b/>
          <w:bCs/>
          <w:color w:val="000000"/>
          <w:sz w:val="20"/>
          <w:szCs w:val="20"/>
        </w:rPr>
        <w:lastRenderedPageBreak/>
        <w:t>Standard 3, Diverse Learners, 4R:</w:t>
      </w:r>
      <w:r w:rsidRPr="00BF07F4">
        <w:rPr>
          <w:rFonts w:ascii="Quattrocento" w:hAnsi="Quattrocento" w:cs="Times New Roman"/>
          <w:color w:val="000000"/>
          <w:sz w:val="20"/>
          <w:szCs w:val="20"/>
        </w:rPr>
        <w:t>  A teacher must understand how students differ in their approaches to learning and create instructional opportunities that are adapted to students with diverse backgrounds and exceptionalities. The teacher must identify and apply technology resources to enable and empower learners with diverse backgrounds, characteristics, and abilities.</w:t>
      </w:r>
    </w:p>
    <w:p w:rsidR="00BF07F4" w:rsidRPr="00BF07F4" w:rsidRDefault="00BF07F4" w:rsidP="00BF07F4">
      <w:pPr>
        <w:rPr>
          <w:rFonts w:ascii="Times New Roman" w:eastAsia="Times New Roman" w:hAnsi="Times New Roman" w:cs="Times New Roman"/>
          <w:sz w:val="20"/>
          <w:szCs w:val="20"/>
        </w:rPr>
      </w:pPr>
      <w:r w:rsidRPr="00BF07F4">
        <w:rPr>
          <w:rFonts w:ascii="Times New Roman" w:eastAsia="Times New Roman" w:hAnsi="Times New Roman" w:cs="Times New Roman"/>
          <w:sz w:val="20"/>
          <w:szCs w:val="20"/>
        </w:rPr>
        <w:br/>
      </w:r>
      <w:r w:rsidRPr="00BF07F4">
        <w:rPr>
          <w:rFonts w:ascii="Quattrocento" w:eastAsia="Times New Roman" w:hAnsi="Quattrocento" w:cs="Times New Roman"/>
          <w:b/>
          <w:bCs/>
          <w:color w:val="000000"/>
          <w:sz w:val="20"/>
          <w:szCs w:val="20"/>
        </w:rPr>
        <w:t>Standard 4, Instructional Strategies, 5K:</w:t>
      </w:r>
      <w:r w:rsidRPr="00BF07F4">
        <w:rPr>
          <w:rFonts w:ascii="Quattrocento" w:eastAsia="Times New Roman" w:hAnsi="Quattrocento" w:cs="Times New Roman"/>
          <w:color w:val="000000"/>
          <w:sz w:val="20"/>
          <w:szCs w:val="20"/>
        </w:rPr>
        <w:t xml:space="preserve">  A teacher must understand and use a variety of instructional strategies to encourage student development of critical thinking, problem solving, and performance skills. The teacher must use </w:t>
      </w:r>
    </w:p>
    <w:p w:rsidR="00AE3A7C" w:rsidRDefault="00AE3A7C">
      <w:bookmarkStart w:id="0" w:name="_GoBack"/>
      <w:bookmarkEnd w:id="0"/>
    </w:p>
    <w:sectPr w:rsidR="00AE3A7C" w:rsidSect="00324A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Quattrocen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67D4E"/>
    <w:multiLevelType w:val="multilevel"/>
    <w:tmpl w:val="FDD6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F4"/>
    <w:rsid w:val="00324AD0"/>
    <w:rsid w:val="00AE3A7C"/>
    <w:rsid w:val="00BF0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324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7F4"/>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BF07F4"/>
  </w:style>
  <w:style w:type="character" w:styleId="Hyperlink">
    <w:name w:val="Hyperlink"/>
    <w:basedOn w:val="DefaultParagraphFont"/>
    <w:uiPriority w:val="99"/>
    <w:semiHidden/>
    <w:unhideWhenUsed/>
    <w:rsid w:val="00BF07F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7F4"/>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BF07F4"/>
  </w:style>
  <w:style w:type="character" w:styleId="Hyperlink">
    <w:name w:val="Hyperlink"/>
    <w:basedOn w:val="DefaultParagraphFont"/>
    <w:uiPriority w:val="99"/>
    <w:semiHidden/>
    <w:unhideWhenUsed/>
    <w:rsid w:val="00BF07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757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alendar.google.com/calendar/embed?src=umn.edu_p7aaacglrvd31jubu7gccoov4o%40group.calendar.google.com&amp;ctz=America%2FChicago" TargetMode="External"/><Relationship Id="rId7" Type="http://schemas.openxmlformats.org/officeDocument/2006/relationships/hyperlink" Target="mailto:olso7321@umn.edu" TargetMode="External"/><Relationship Id="rId8" Type="http://schemas.openxmlformats.org/officeDocument/2006/relationships/hyperlink" Target="mailto:avadh005@umn.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2856</Characters>
  <Application>Microsoft Macintosh Word</Application>
  <DocSecurity>0</DocSecurity>
  <Lines>23</Lines>
  <Paragraphs>6</Paragraphs>
  <ScaleCrop>false</ScaleCrop>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Koch</dc:creator>
  <cp:keywords/>
  <dc:description/>
  <cp:lastModifiedBy>Jordan Koch</cp:lastModifiedBy>
  <cp:revision>1</cp:revision>
  <dcterms:created xsi:type="dcterms:W3CDTF">2019-06-25T01:22:00Z</dcterms:created>
  <dcterms:modified xsi:type="dcterms:W3CDTF">2019-06-25T01:22:00Z</dcterms:modified>
</cp:coreProperties>
</file>