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spacing w:before="0" w:after="0"/>
        <w:rPr>
          <w:rFonts w:ascii="Times New Roman" w:hAnsi="Times New Roman" w:eastAsia="Times New Roman" w:cs="Times New Roman"/>
          <w:sz w:val="16"/>
          <w:szCs w:val="16"/>
          <w:lang w:val="en-GB"/>
        </w:rPr>
      </w:pPr>
      <w:bookmarkStart w:id="0" w:name="_Ref443315616"/>
      <w:r>
        <w:rPr>
          <w:rFonts w:cs="Times New Roman" w:ascii="Times New Roman" w:hAnsi="Times New Roman"/>
          <w:b/>
          <w:iCs w:val="false"/>
          <w:sz w:val="22"/>
          <w:szCs w:val="22"/>
          <w:lang w:val="en-GB"/>
        </w:rPr>
        <w:t xml:space="preserve">Table </w:t>
      </w:r>
      <w:bookmarkEnd w:id="0"/>
      <w:r>
        <w:rPr>
          <w:rFonts w:cs="Times New Roman" w:ascii="Times New Roman" w:hAnsi="Times New Roman"/>
          <w:b/>
          <w:iCs w:val="false"/>
          <w:sz w:val="22"/>
          <w:szCs w:val="22"/>
          <w:lang w:val="en-GB"/>
        </w:rPr>
        <w:t>S1.</w:t>
      </w:r>
      <w:r>
        <w:rPr>
          <w:rFonts w:cs="Times New Roman" w:ascii="Times New Roman" w:hAnsi="Times New Roman"/>
          <w:iCs w:val="false"/>
          <w:sz w:val="22"/>
          <w:szCs w:val="22"/>
          <w:lang w:val="en-GB"/>
        </w:rPr>
        <w:t xml:space="preserve"> Inventory activities and primary data sources grouped per life cycle stage.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16"/>
          <w:szCs w:val="1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5353050</wp:posOffset>
                </wp:positionH>
                <wp:positionV relativeFrom="paragraph">
                  <wp:posOffset>35560</wp:posOffset>
                </wp:positionV>
                <wp:extent cx="67310" cy="67310"/>
                <wp:effectExtent l="0" t="0" r="0" b="0"/>
                <wp:wrapNone/>
                <wp:docPr id="1" name="Rectangle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6600" cy="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0" fillcolor="white" stroked="t" style="position:absolute;margin-left:421.5pt;margin-top:2.8pt;width:5.2pt;height:5.2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6088380</wp:posOffset>
                </wp:positionH>
                <wp:positionV relativeFrom="paragraph">
                  <wp:posOffset>35560</wp:posOffset>
                </wp:positionV>
                <wp:extent cx="67310" cy="67310"/>
                <wp:effectExtent l="0" t="0" r="0" b="0"/>
                <wp:wrapNone/>
                <wp:docPr id="2" name="Rectangle 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6600" cy="66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1" fillcolor="#bfbfbf" stroked="t" style="position:absolute;margin-left:479.4pt;margin-top:2.8pt;width:5.2pt;height:5.2pt">
                <w10:wrap type="none"/>
                <v:fill o:detectmouseclick="t" type="solid" color2="#404040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6743700</wp:posOffset>
                </wp:positionH>
                <wp:positionV relativeFrom="paragraph">
                  <wp:posOffset>35560</wp:posOffset>
                </wp:positionV>
                <wp:extent cx="67310" cy="67310"/>
                <wp:effectExtent l="0" t="0" r="0" b="0"/>
                <wp:wrapNone/>
                <wp:docPr id="3" name="Rectangle 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66600" cy="66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2" fillcolor="gray" stroked="t" style="position:absolute;margin-left:531pt;margin-top:2.8pt;width:5.2pt;height:5.2pt">
                <w10:wrap type="none"/>
                <v:fill o:detectmouseclick="t" type="solid" color2="#7f7f7f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7286625</wp:posOffset>
                </wp:positionH>
                <wp:positionV relativeFrom="paragraph">
                  <wp:posOffset>35560</wp:posOffset>
                </wp:positionV>
                <wp:extent cx="67310" cy="67310"/>
                <wp:effectExtent l="0" t="0" r="0" b="0"/>
                <wp:wrapNone/>
                <wp:docPr id="4" name="Rectangle 1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66600" cy="66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3" fillcolor="black" stroked="t" style="position:absolute;margin-left:573.75pt;margin-top:2.8pt;width:5.2pt;height:5.2pt">
                <w10:wrap type="none"/>
                <v:fill o:detectmouseclick="t" type="solid" color2="white"/>
                <v:stroke color="black" joinstyle="round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16"/>
          <w:szCs w:val="16"/>
        </w:rPr>
        <w:t>Q</w:t>
      </w:r>
      <w:r>
        <w:rPr>
          <w:rFonts w:eastAsia="Times New Roman" w:cs="Times New Roman" w:ascii="Times New Roman" w:hAnsi="Times New Roman"/>
          <w:sz w:val="16"/>
          <w:szCs w:val="16"/>
        </w:rPr>
        <w:t>uality evaluation on 3 scale basis (Q). Market specification: (n: for onshore, f: for offshore, n/f: for both). Data type:   material,          fuel/energy            transport             waste</w:t>
      </w:r>
    </w:p>
    <w:tbl>
      <w:tblPr>
        <w:tblW w:w="1396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val="04a0"/>
      </w:tblPr>
      <w:tblGrid>
        <w:gridCol w:w="291"/>
        <w:gridCol w:w="147"/>
        <w:gridCol w:w="291"/>
        <w:gridCol w:w="2333"/>
        <w:gridCol w:w="10574"/>
        <w:gridCol w:w="332"/>
      </w:tblGrid>
      <w:tr>
        <w:trPr>
          <w:trHeight w:val="131" w:hRule="atLeast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5BE97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LCS</w:t>
            </w:r>
          </w:p>
        </w:tc>
        <w:tc>
          <w:tcPr>
            <w:tcW w:w="2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5BE97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5BE97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Primary inventory data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5BE9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Q</w:t>
            </w:r>
          </w:p>
        </w:tc>
      </w:tr>
      <w:tr>
        <w:trPr/>
        <w:tc>
          <w:tcPr>
            <w:tcW w:w="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Materials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Nacelle</w:t>
            </w:r>
          </w:p>
        </w:tc>
        <w:tc>
          <w:tcPr>
            <w:tcW w:w="10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2013 Bill of Materials (BOM) from the company’s enterprise resource planning (ERP) system. Component subparts characterized as of their main material, e.g. ‘steel-S355’ in collaboration with product development SWP engineers. Material composition identified for 97-99% of component weight. The rest has been allocated to the identified materials proportionally, e.g. for the D3 nacelle, 753 out of 1061 subparts that cover 99,9% of the nacelle weight have been characterized.</w:t>
            </w:r>
          </w:p>
        </w:tc>
        <w:tc>
          <w:tcPr>
            <w:tcW w:w="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Hub</w:t>
            </w:r>
          </w:p>
        </w:tc>
        <w:tc>
          <w:tcPr>
            <w:tcW w:w="10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Tower </w:t>
            </w:r>
          </w:p>
        </w:tc>
        <w:tc>
          <w:tcPr>
            <w:tcW w:w="10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 /TU</w:t>
            </w:r>
          </w:p>
        </w:tc>
        <w:tc>
          <w:tcPr>
            <w:tcW w:w="10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Blades (BOM/R&amp;D)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Same identification as above. Data cover BOM and all R&amp;D consumption from 3 manufacturing facilities. Allocation per blade based on weight or surface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Foundation 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Calculation of reinforced concrete requirements based on standard site of certain friction angle, sand density and buoyancy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Onshore Cables to grid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Cable type and length identified for a typical 19 x 3.2 onshore project. Assumed the same in all plants. Material specifications for cables from supplier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Onshore substation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Data for raw materials in onshore substation on the basis of an off-shore project. No adjustment for the smaller MW output for an onshore plant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Foundation (monopile)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Data for type and quality of materials, from a reference project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Offshore cables 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Cable materials identified from reference project. Offshore distances are based on expert judgment based on sales data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Offshore substations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Material data from reference project. Transformer data from supplier’s EPD. Data scaled for 2pc for 4.0 and 2.5 pc for 6.0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</w:t>
            </w:r>
          </w:p>
        </w:tc>
      </w:tr>
      <w:tr>
        <w:trPr>
          <w:trHeight w:val="158" w:hRule="atLeast"/>
        </w:trPr>
        <w:tc>
          <w:tcPr>
            <w:tcW w:w="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Manufacturing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in-house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for manufacturing nacelles, hubs and blades (including R&amp;D). Data collected from 3 manufacturing sites in DK. Major offices in DK are included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fr-FR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fr-FR"/>
              </w:rPr>
              <w:t xml:space="preserve"> in main suppliers 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Supplier data for canopy (nacelle) and hub. For cables data are given from supplier for a reference project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for tower man.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Data for energy, waste and direct emissions are delivered by a supplier for a reference project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for transformer man.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Data from supplier for reference project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for off. cable man.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Energy data from average project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for monopile man.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Supplier data for energy usage per tonne tower produced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7F7F7F" w:themeFill="text1" w:themeFillTint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from suppliers to SWP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14 Suppliers for the heaviest components, identified for the European projects. Exact distances calculated and extrapolated to the total supplied weight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7F7F7F" w:themeFill="text1" w:themeFillTint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during man.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Blades transported between manufacturing facilities in DK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themeFill="text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Waste from SWP man.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Waste from manufacturing nacelle and hub and blades (including R&amp;D waste). Waste data and corresponding treatment from three DK facilities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themeFill="text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Waste from cable man.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Specifications for cables from supplier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Installation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Gravel road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of gravel for roads and stands on wind farm site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equipment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For nacelle, blades, hub, PU: Data from the company’s ERP system for all platforms except for 6.0 (was still in development). Life time and reuse rates included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at site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Data per turbine collected from bills for a reference project and from main crane supplier. Assumed same for both plants.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>
          <w:trHeight w:val="70" w:hRule="atLeast"/>
        </w:trPr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Resources for offshore substation  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Includes installation at site for both foundation, platform, topside of substation. Data from reference project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for preassembly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Data covers start of project to commissioning in a 6 month period for a reference project. Same data for both plants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Resources for monopile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Energy consumption data from reference project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7F7F7F" w:themeFill="text1" w:themeFillTint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of cables to site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Supplier data for tkm travelled from supplier to site and corresponding transport modes. Also fuel for cable laying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7F7F7F" w:themeFill="text1" w:themeFillTint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from SWP to site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Calculated as an average of predefined reference projects used by in company experts for logistics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7F7F7F" w:themeFill="text1" w:themeFillTint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of substation to site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Former data for amount of transport for trucks/machinery from a reference project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7F7F7F" w:themeFill="text1" w:themeFillTint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Person transport 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Man-months, distances, modes of transport collected for European projects of 2013 with the same type of turbines as the ones assessed. Data adjusted to plant size 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808080" w:themeFill="background1" w:themeFillShade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for offshore installation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Installation Vessel (mobilization, transit to site, return from preassembly, installation at site and at the preassembly port, demobilization)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Person Transport (transfers from hotel vessels to turbines), Hotel Vessel (consumption for technicians’ accommodation).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808080" w:themeFill="background1" w:themeFillShade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of monopile to site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Fuel consumption from reference project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Waste during installation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Only total amount of recyclable waste is known. Data per turbine collected from bills for reference project. Same data for both turbines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</w:t>
            </w:r>
          </w:p>
        </w:tc>
      </w:tr>
      <w:tr>
        <w:trPr/>
        <w:tc>
          <w:tcPr>
            <w:tcW w:w="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op/n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Service materials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Spare parts for large parts based on historical data and conservative technical evaluations. Service materials per platform for annual service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Waste from service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Assumption that service waste is the same as the material input for service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</w:t>
            </w:r>
          </w:p>
        </w:tc>
      </w:tr>
      <w:tr>
        <w:trPr/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themeFill="background1" w:themeFillShade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for maintenance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Fuel for technicians’ transport based on planned and unplanned service, and transport setup for technicians and parts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+++</w:t>
            </w:r>
          </w:p>
        </w:tc>
      </w:tr>
      <w:tr>
        <w:trPr/>
        <w:tc>
          <w:tcPr>
            <w:tcW w:w="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  <w:t>EoL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Dismantling of turbine at site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Has been estimated as a percentage (75%) of resources used during establishment of site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</w:t>
            </w:r>
          </w:p>
        </w:tc>
      </w:tr>
      <w:tr>
        <w:trPr>
          <w:trHeight w:val="19" w:hRule="atLeast"/>
        </w:trPr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themeFill="background1" w:themeFillShade="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 to EoL treatment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literature data for distances to disposal sites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</w:t>
            </w:r>
          </w:p>
        </w:tc>
      </w:tr>
      <w:tr>
        <w:trPr>
          <w:trHeight w:val="19" w:hRule="atLeast"/>
        </w:trPr>
        <w:tc>
          <w:tcPr>
            <w:tcW w:w="2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themeFill="text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n/f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EoL treatment of materials</w:t>
            </w:r>
          </w:p>
        </w:tc>
        <w:tc>
          <w:tcPr>
            <w:tcW w:w="10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Recycling rates from reference project within Siemens AG. Data supplemented by literature and confirmed by company expert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+</w:t>
            </w:r>
          </w:p>
        </w:tc>
      </w:tr>
    </w:tbl>
    <w:p>
      <w:pPr>
        <w:sectPr>
          <w:type w:val="nextPage"/>
          <w:pgSz w:orient="landscape" w:w="16838" w:h="11906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Table S2.</w:t>
      </w:r>
      <w:r>
        <w:rPr>
          <w:rFonts w:cs="Times New Roman" w:ascii="Times New Roman" w:hAnsi="Times New Roman"/>
        </w:rPr>
        <w:t xml:space="preserve"> LCA results (impacts/FU) for the onshore wind power plants (the items shown are the ones contributing more than1% to climate change)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5715" distL="0" distR="0">
            <wp:extent cx="8863330" cy="2623185"/>
            <wp:effectExtent l="0" t="0" r="0" b="0"/>
            <wp:docPr id="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635" distL="0" distR="0">
            <wp:extent cx="8863330" cy="475615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Table S3.</w:t>
      </w:r>
      <w:r>
        <w:rPr>
          <w:rFonts w:cs="Times New Roman" w:ascii="Times New Roman" w:hAnsi="Times New Roman"/>
        </w:rPr>
        <w:t xml:space="preserve"> LCA results (impacts/FU) for the offshore wind power plants (the items shown are the ones contributing more than1% to climate change)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8863330" cy="2709545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5715" distL="0" distR="0">
            <wp:extent cx="8863330" cy="413385"/>
            <wp:effectExtent l="0" t="0" r="0" b="0"/>
            <wp:docPr id="8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Figure S1</w:t>
      </w:r>
      <w:r>
        <w:rPr>
          <w:rFonts w:cs="Times New Roman" w:ascii="Times New Roman" w:hAnsi="Times New Roman"/>
          <w:sz w:val="24"/>
          <w:szCs w:val="24"/>
          <w:lang w:eastAsia="en-GB"/>
        </w:rPr>
        <w:t>. Endpoint LCA results for ecosystem damages (% contribution to species.yr)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8813800" cy="196215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en-GB"/>
        </w:rPr>
      </w:pPr>
      <w:r/>
      <w:r>
        <w:rPr>
          <w:rFonts w:cs="Times New Roman" w:ascii="Times New Roman" w:hAnsi="Times New Roman"/>
          <w:b/>
          <w:sz w:val="24"/>
          <w:szCs w:val="24"/>
          <w:lang w:eastAsia="en-GB"/>
        </w:rPr>
        <w:drawing>
          <wp:inline distT="0" distB="0" distL="0" distR="0">
            <wp:extent cx="8750300" cy="290830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  <w:t>F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>igure S2.</w:t>
      </w:r>
      <w:r>
        <w:rPr>
          <w:rFonts w:cs="Times New Roman" w:ascii="Times New Roman" w:hAnsi="Times New Roman"/>
          <w:sz w:val="24"/>
          <w:szCs w:val="24"/>
          <w:lang w:eastAsia="en-GB"/>
        </w:rPr>
        <w:t xml:space="preserve"> Uncetainty analysis for the LCA results of the D3 plant via Monte Carlo (1000 runs, confidence interval 95%). Uncertainty due to inventory data only</w:t>
      </w:r>
    </w:p>
    <w:p>
      <w:pPr>
        <w:pStyle w:val="NormalWeb"/>
        <w:ind w:left="480" w:hanging="480"/>
        <w:rPr>
          <w:b/>
          <w:b/>
          <w:lang w:val="en-GB"/>
        </w:rPr>
      </w:pPr>
      <w:r>
        <w:rPr>
          <w:b/>
          <w:lang w:val="en-GB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3649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3649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736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ption1">
    <w:name w:val="caption"/>
    <w:basedOn w:val="Normal"/>
    <w:next w:val="Normal"/>
    <w:uiPriority w:val="35"/>
    <w:unhideWhenUsed/>
    <w:qFormat/>
    <w:rsid w:val="00373649"/>
    <w:pPr>
      <w:spacing w:lineRule="auto" w:line="240"/>
    </w:pPr>
    <w:rPr>
      <w:rFonts w:ascii="Calibri" w:hAnsi="Calibri" w:asciiTheme="minorHAnsi" w:hAnsiTheme="minorHAnsi"/>
      <w:iCs/>
      <w:sz w:val="18"/>
      <w:szCs w:val="18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364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bar"/>
        <c:grouping val="percent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Climate change Ecosystems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0.189545240847</c:v>
                </c:pt>
                <c:pt idx="1">
                  <c:v>0.20392061646</c:v>
                </c:pt>
                <c:pt idx="2">
                  <c:v>2.40702858461</c:v>
                </c:pt>
                <c:pt idx="3">
                  <c:v>3.25311188024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Terrestrial acidification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0.000687955527335</c:v>
                </c:pt>
                <c:pt idx="1">
                  <c:v>0.000808977119886001</c:v>
                </c:pt>
                <c:pt idx="2">
                  <c:v>0.0114402328003</c:v>
                </c:pt>
                <c:pt idx="3">
                  <c:v>0.01531396758855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Freshwater eutrophication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0.00041150878167</c:v>
                </c:pt>
                <c:pt idx="1">
                  <c:v>0.000570823520587001</c:v>
                </c:pt>
                <c:pt idx="2">
                  <c:v>0.00687509964586001</c:v>
                </c:pt>
                <c:pt idx="3">
                  <c:v>0.00977368291365001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Terrestrial ecotoxicity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0.00066304093445</c:v>
                </c:pt>
                <c:pt idx="1">
                  <c:v>0.00071902238677</c:v>
                </c:pt>
                <c:pt idx="2">
                  <c:v>0.00693017618210001</c:v>
                </c:pt>
                <c:pt idx="3">
                  <c:v>0.0097885780517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Freshwater ecotoxicity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0.000427361064712</c:v>
                </c:pt>
                <c:pt idx="1">
                  <c:v>0.000556364379891001</c:v>
                </c:pt>
                <c:pt idx="2">
                  <c:v>0.00969423626156</c:v>
                </c:pt>
                <c:pt idx="3">
                  <c:v>0.01394934831723</c:v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Marine ecotoxicity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8.6114631741E-005</c:v>
                </c:pt>
                <c:pt idx="1">
                  <c:v>0.000112462887171</c:v>
                </c:pt>
                <c:pt idx="2">
                  <c:v>0.00187502185442</c:v>
                </c:pt>
                <c:pt idx="3">
                  <c:v>0.00268777016101</c:v>
                </c:pt>
              </c:numCache>
            </c:numRef>
          </c:val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Agricultural land occupation</c:v>
                </c:pt>
              </c:strCache>
            </c:strRef>
          </c:tx>
          <c:spPr>
            <a:solidFill>
              <a:srgbClr val="2c4d75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0.0458497432984</c:v>
                </c:pt>
                <c:pt idx="1">
                  <c:v>0.04778903053</c:v>
                </c:pt>
                <c:pt idx="2">
                  <c:v>0.356805770463</c:v>
                </c:pt>
                <c:pt idx="3">
                  <c:v>0.518150359043</c:v>
                </c:pt>
              </c:numCache>
            </c:numRef>
          </c:val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Urban land occupation</c:v>
                </c:pt>
              </c:strCache>
            </c:strRef>
          </c:tx>
          <c:spPr>
            <a:solidFill>
              <a:srgbClr val="772c2a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4"/>
                <c:pt idx="0">
                  <c:v>0.01174143139585</c:v>
                </c:pt>
                <c:pt idx="1">
                  <c:v>0.01211480245333</c:v>
                </c:pt>
                <c:pt idx="2">
                  <c:v>0.0620692710549</c:v>
                </c:pt>
                <c:pt idx="3">
                  <c:v>0.0857892696675</c:v>
                </c:pt>
              </c:numCache>
            </c:numRef>
          </c:val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Natural land transformation</c:v>
                </c:pt>
              </c:strCache>
            </c:strRef>
          </c:tx>
          <c:spPr>
            <a:solidFill>
              <a:srgbClr val="5f7530"/>
            </a:solidFill>
            <a:ln>
              <a:noFill/>
            </a:ln>
          </c:spPr>
          <c:invertIfNegative val="0"/>
          <c:dLbls>
            <c:numFmt formatCode="0%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G2</c:v>
                </c:pt>
                <c:pt idx="1">
                  <c:v>D3</c:v>
                </c:pt>
                <c:pt idx="2">
                  <c:v>G4</c:v>
                </c:pt>
                <c:pt idx="3">
                  <c:v>D6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4"/>
                <c:pt idx="0">
                  <c:v>0.0865221281565001</c:v>
                </c:pt>
                <c:pt idx="1">
                  <c:v>0.086725201722</c:v>
                </c:pt>
                <c:pt idx="2">
                  <c:v>0.0807377647341</c:v>
                </c:pt>
                <c:pt idx="3">
                  <c:v>0.0994914415740001</c:v>
                </c:pt>
              </c:numCache>
            </c:numRef>
          </c:val>
        </c:ser>
        <c:gapWidth val="150"/>
        <c:overlap val="100"/>
        <c:axId val="17796110"/>
        <c:axId val="61038307"/>
      </c:barChart>
      <c:catAx>
        <c:axId val="17796110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61038307"/>
        <c:crosses val="autoZero"/>
        <c:auto val="1"/>
        <c:lblAlgn val="ctr"/>
        <c:lblOffset val="100"/>
      </c:catAx>
      <c:valAx>
        <c:axId val="6103830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%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7796110"/>
        <c:crosses val="autoZero"/>
      </c:valAx>
      <c:spPr>
        <a:noFill/>
        <a:ln>
          <a:noFill/>
        </a:ln>
      </c:spPr>
    </c:plotArea>
    <c:legend>
      <c:layout>
        <c:manualLayout>
          <c:xMode val="edge"/>
          <c:yMode val="edge"/>
          <c:x val="0.0195"/>
          <c:y val="0.772888888888889"/>
          <c:w val="0.887492968310519"/>
          <c:h val="0.132014668296477"/>
        </c:manualLayout>
      </c:layout>
      <c:spPr>
        <a:noFill/>
        <a:ln>
          <a:noFill/>
        </a:ln>
      </c:spPr>
      <c:txPr>
        <a:bodyPr/>
        <a:lstStyle/>
        <a:p>
          <a:pPr>
            <a:defRPr b="0" sz="8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3.2 assemblies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6"/>
                <c:pt idx="0">
                  <c:v>Climate change</c:v>
                </c:pt>
                <c:pt idx="1">
                  <c:v>Ozone depletion</c:v>
                </c:pt>
                <c:pt idx="2">
                  <c:v>Human toxicity, non-cancer effects</c:v>
                </c:pt>
                <c:pt idx="3">
                  <c:v>Human toxicity, cancer effects</c:v>
                </c:pt>
                <c:pt idx="4">
                  <c:v>Particulate matter</c:v>
                </c:pt>
                <c:pt idx="5">
                  <c:v>Ionizing radiation HH</c:v>
                </c:pt>
                <c:pt idx="6">
                  <c:v>Ionizing radiation E (interim)</c:v>
                </c:pt>
                <c:pt idx="7">
                  <c:v>Photochemical ozone formation</c:v>
                </c:pt>
                <c:pt idx="8">
                  <c:v>Acidification</c:v>
                </c:pt>
                <c:pt idx="9">
                  <c:v>Terrestrial eutrophication</c:v>
                </c:pt>
                <c:pt idx="10">
                  <c:v>Freshwater eutrophication</c:v>
                </c:pt>
                <c:pt idx="11">
                  <c:v>Marine eutrophication</c:v>
                </c:pt>
                <c:pt idx="12">
                  <c:v>Freshwater ecotoxicity</c:v>
                </c:pt>
                <c:pt idx="13">
                  <c:v>Land use</c:v>
                </c:pt>
                <c:pt idx="14">
                  <c:v>Water resource depletion</c:v>
                </c:pt>
                <c:pt idx="15">
                  <c:v>Mineral, fossil &amp; ren resource depletion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</c:numCache>
            </c:numRef>
          </c:val>
        </c:ser>
        <c:gapWidth val="150"/>
        <c:overlap val="100"/>
        <c:axId val="92360856"/>
        <c:axId val="64151217"/>
      </c:barChart>
      <c:catAx>
        <c:axId val="92360856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8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64151217"/>
        <c:crosses val="autoZero"/>
        <c:auto val="1"/>
        <c:lblAlgn val="ctr"/>
        <c:lblOffset val="100"/>
      </c:catAx>
      <c:valAx>
        <c:axId val="6415121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%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8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92360856"/>
        <c:crosses val="max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>
      <a:solidFill>
        <a:srgbClr val="d9d9d9"/>
      </a:solidFill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LibreOffice/6.0.6.2$Windows_X86_64 LibreOffice_project/0c292870b25a325b5ed35f6b45599d2ea4458e77</Application>
  <Pages>17</Pages>
  <Words>990</Words>
  <Characters>5359</Characters>
  <CharactersWithSpaces>6230</CharactersWithSpaces>
  <Paragraphs>175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2016-07-16T03:32:00Z</dcterms:created>
  <dc:creator>0006512</dc:creator>
  <dc:description/>
  <dc:language>en-US</dc:language>
  <cp:lastModifiedBy>0006512</cp:lastModifiedBy>
  <dcterms:modified xsi:type="dcterms:W3CDTF">2016-07-16T03:33:00Z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