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6DF3" w:rsidRDefault="00FF4524" w:rsidP="00D508E1">
      <w:pPr>
        <w:pStyle w:val="Heading1"/>
        <w:rPr>
          <w:b/>
          <w:color w:val="auto"/>
        </w:rPr>
      </w:pPr>
      <w:bookmarkStart w:id="0" w:name="_Toc14428402"/>
      <w:r w:rsidRPr="00D508E1">
        <w:rPr>
          <w:b/>
          <w:color w:val="auto"/>
        </w:rPr>
        <w:softHyphen/>
      </w:r>
      <w:r w:rsidRPr="00D508E1">
        <w:rPr>
          <w:b/>
          <w:color w:val="auto"/>
        </w:rPr>
        <w:softHyphen/>
      </w:r>
      <w:r w:rsidRPr="00D508E1">
        <w:rPr>
          <w:b/>
          <w:color w:val="auto"/>
        </w:rPr>
        <w:softHyphen/>
      </w:r>
      <w:r w:rsidRPr="00D508E1">
        <w:rPr>
          <w:b/>
          <w:color w:val="auto"/>
        </w:rPr>
        <w:softHyphen/>
      </w:r>
      <w:r w:rsidRPr="00D508E1">
        <w:rPr>
          <w:b/>
          <w:color w:val="auto"/>
        </w:rPr>
        <w:softHyphen/>
        <w:t>Data Trends for Guana Water Quality Sampling Project</w:t>
      </w:r>
      <w:bookmarkEnd w:id="0"/>
    </w:p>
    <w:p w:rsidR="002E0EEB" w:rsidRPr="00D508E1" w:rsidRDefault="002E0EEB" w:rsidP="00D508E1">
      <w:pPr>
        <w:pStyle w:val="Heading2"/>
        <w:rPr>
          <w:color w:val="auto"/>
        </w:rPr>
      </w:pPr>
      <w:r w:rsidRPr="00D508E1">
        <w:rPr>
          <w:color w:val="auto"/>
        </w:rPr>
        <w:t>Background</w:t>
      </w:r>
    </w:p>
    <w:p w:rsidR="00FF4524" w:rsidRDefault="00FF4524">
      <w:r>
        <w:t xml:space="preserve">Monthly water sample collections began in the Guana system in July 2017 with five sites: </w:t>
      </w:r>
      <w:proofErr w:type="spellStart"/>
      <w:r>
        <w:t>Micklers</w:t>
      </w:r>
      <w:proofErr w:type="spellEnd"/>
      <w:r>
        <w:t xml:space="preserve">, Lake Middle, Lake South, River North and Guana River. This totaled to three stations in the Guana Lake and two in the Guana River. All water samples were sent to ALS Environmental Labs in Jacksonville, FL for nutrient analyses. </w:t>
      </w:r>
    </w:p>
    <w:p w:rsidR="00FF4524" w:rsidRDefault="00FF4524">
      <w:r>
        <w:t xml:space="preserve">Starting in July 2018, </w:t>
      </w:r>
      <w:proofErr w:type="gramStart"/>
      <w:r>
        <w:t>at the conclusion of</w:t>
      </w:r>
      <w:proofErr w:type="gramEnd"/>
      <w:r>
        <w:t xml:space="preserve"> the one-year pilot study, an additional five sampling stations were added after input and additional funding from Florida Department of Environmental Protection’s (FDEP) Division of Environmental Assessment and Restoration (DEAR) and Florida Fish and Wildlife Conservation Commission (FWC). The original five stations, plus these new </w:t>
      </w:r>
      <w:r w:rsidR="00702C69">
        <w:t>five</w:t>
      </w:r>
      <w:r>
        <w:t xml:space="preserve"> </w:t>
      </w:r>
      <w:r w:rsidR="00702C69">
        <w:t>stations</w:t>
      </w:r>
      <w:r>
        <w:t>, were then sampled for another full year (see map).</w:t>
      </w:r>
    </w:p>
    <w:p w:rsidR="00FF4524" w:rsidRDefault="00FF4524" w:rsidP="00FF4524">
      <w:pPr>
        <w:jc w:val="center"/>
      </w:pPr>
      <w:r>
        <w:rPr>
          <w:noProof/>
        </w:rPr>
        <w:drawing>
          <wp:inline distT="0" distB="0" distL="0" distR="0">
            <wp:extent cx="3555687" cy="4742815"/>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ana_10sites.png"/>
                    <pic:cNvPicPr/>
                  </pic:nvPicPr>
                  <pic:blipFill>
                    <a:blip r:embed="rId8">
                      <a:extLst>
                        <a:ext uri="{28A0092B-C50C-407E-A947-70E740481C1C}">
                          <a14:useLocalDpi xmlns:a14="http://schemas.microsoft.com/office/drawing/2010/main" val="0"/>
                        </a:ext>
                      </a:extLst>
                    </a:blip>
                    <a:stretch>
                      <a:fillRect/>
                    </a:stretch>
                  </pic:blipFill>
                  <pic:spPr>
                    <a:xfrm>
                      <a:off x="0" y="0"/>
                      <a:ext cx="3566223" cy="4756869"/>
                    </a:xfrm>
                    <a:prstGeom prst="rect">
                      <a:avLst/>
                    </a:prstGeom>
                  </pic:spPr>
                </pic:pic>
              </a:graphicData>
            </a:graphic>
          </wp:inline>
        </w:drawing>
      </w:r>
    </w:p>
    <w:p w:rsidR="00FF4524" w:rsidRDefault="00FF4524" w:rsidP="00FF4524">
      <w:proofErr w:type="gramStart"/>
      <w:r>
        <w:t>All of</w:t>
      </w:r>
      <w:proofErr w:type="gramEnd"/>
      <w:r>
        <w:t xml:space="preserve"> the data included in the calculations and figures below has been provisionally reviewed but has not gone through a quality assurance and quality check (QAQC) process with GTMNERR staff. The </w:t>
      </w:r>
      <w:r w:rsidR="00094078">
        <w:t xml:space="preserve">attached </w:t>
      </w:r>
      <w:r>
        <w:t>figures are also not finalized products as an official two-year project report is still in progress</w:t>
      </w:r>
      <w:r w:rsidR="00094078">
        <w:t xml:space="preserve"> at </w:t>
      </w:r>
      <w:r w:rsidR="00094078">
        <w:lastRenderedPageBreak/>
        <w:t>this time</w:t>
      </w:r>
      <w:r>
        <w:t>. For any further questions, please reach out to the project’s principal investigator, Dr. Nikki Dix (</w:t>
      </w:r>
      <w:hyperlink r:id="rId9" w:history="1">
        <w:r w:rsidRPr="00BC6C1C">
          <w:rPr>
            <w:rStyle w:val="Hyperlink"/>
          </w:rPr>
          <w:t>Nikki.Dix@floridadep.gov</w:t>
        </w:r>
      </w:hyperlink>
      <w:r>
        <w:t>)</w:t>
      </w:r>
      <w:r w:rsidR="00702C69">
        <w:t>.</w:t>
      </w:r>
    </w:p>
    <w:p w:rsidR="00094078" w:rsidRPr="00D508E1" w:rsidRDefault="00094078" w:rsidP="00D508E1">
      <w:pPr>
        <w:pStyle w:val="Heading2"/>
        <w:rPr>
          <w:color w:val="auto"/>
        </w:rPr>
      </w:pPr>
      <w:r w:rsidRPr="00D508E1">
        <w:rPr>
          <w:color w:val="auto"/>
        </w:rPr>
        <w:t>Parameters available in dataset:</w:t>
      </w:r>
    </w:p>
    <w:tbl>
      <w:tblPr>
        <w:tblStyle w:val="ListTable1Light"/>
        <w:tblW w:w="5000" w:type="pct"/>
        <w:tblLook w:val="04A0" w:firstRow="1" w:lastRow="0" w:firstColumn="1" w:lastColumn="0" w:noHBand="0" w:noVBand="1"/>
      </w:tblPr>
      <w:tblGrid>
        <w:gridCol w:w="7370"/>
        <w:gridCol w:w="1990"/>
      </w:tblGrid>
      <w:tr w:rsidR="00094078" w:rsidRPr="00942922" w:rsidTr="0094292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aps/>
                <w:color w:val="000000"/>
                <w:sz w:val="20"/>
                <w:szCs w:val="20"/>
              </w:rPr>
            </w:pPr>
            <w:r w:rsidRPr="00942922">
              <w:rPr>
                <w:rFonts w:ascii="Calibri" w:eastAsia="Times New Roman" w:hAnsi="Calibri" w:cs="Times New Roman"/>
                <w:caps/>
                <w:color w:val="000000"/>
                <w:sz w:val="20"/>
                <w:szCs w:val="20"/>
              </w:rPr>
              <w:t>Parameter</w:t>
            </w:r>
          </w:p>
        </w:tc>
        <w:tc>
          <w:tcPr>
            <w:tcW w:w="1063" w:type="pct"/>
            <w:noWrap/>
            <w:hideMark/>
          </w:tcPr>
          <w:p w:rsidR="00094078" w:rsidRPr="00942922" w:rsidRDefault="00094078" w:rsidP="0009407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aps/>
                <w:color w:val="000000"/>
                <w:sz w:val="20"/>
                <w:szCs w:val="20"/>
              </w:rPr>
            </w:pPr>
            <w:r w:rsidRPr="00942922">
              <w:rPr>
                <w:rFonts w:ascii="Calibri" w:eastAsia="Times New Roman" w:hAnsi="Calibri" w:cs="Times New Roman"/>
                <w:caps/>
                <w:color w:val="000000"/>
                <w:sz w:val="20"/>
                <w:szCs w:val="20"/>
              </w:rPr>
              <w:t>Abbrev</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Total Alkalinity</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Alkalinity</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Wind Direction</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WIND_D</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Chlorophyll a, Uncorrected (Trichromatic)</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CHLa_UnC</w:t>
            </w:r>
            <w:proofErr w:type="spellEnd"/>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Total Nitrogen</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TN</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Total Suspended Solids</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TSS</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Fluoride</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Fluoride</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Organic Carbon</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W-TOC</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Air temperature</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ATEMP</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Wind Speed</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WIND_S</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Water temperature</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WTEM</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gramStart"/>
            <w:r w:rsidRPr="00942922">
              <w:rPr>
                <w:rFonts w:ascii="Calibri" w:eastAsia="Times New Roman" w:hAnsi="Calibri" w:cs="Times New Roman"/>
                <w:color w:val="000000"/>
                <w:sz w:val="20"/>
                <w:szCs w:val="20"/>
              </w:rPr>
              <w:t>Ammonia as Nitrogen,</w:t>
            </w:r>
            <w:proofErr w:type="gramEnd"/>
            <w:r w:rsidRPr="00942922">
              <w:rPr>
                <w:rFonts w:ascii="Calibri" w:eastAsia="Times New Roman" w:hAnsi="Calibri" w:cs="Times New Roman"/>
                <w:color w:val="000000"/>
                <w:sz w:val="20"/>
                <w:szCs w:val="20"/>
              </w:rPr>
              <w:t xml:space="preserve"> Dissolved</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NH4_N</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gramStart"/>
            <w:r w:rsidRPr="00942922">
              <w:rPr>
                <w:rFonts w:ascii="Calibri" w:eastAsia="Times New Roman" w:hAnsi="Calibri" w:cs="Times New Roman"/>
                <w:color w:val="000000"/>
                <w:sz w:val="20"/>
                <w:szCs w:val="20"/>
              </w:rPr>
              <w:t>Chlorophyll a,</w:t>
            </w:r>
            <w:proofErr w:type="gramEnd"/>
            <w:r w:rsidRPr="00942922">
              <w:rPr>
                <w:rFonts w:ascii="Calibri" w:eastAsia="Times New Roman" w:hAnsi="Calibri" w:cs="Times New Roman"/>
                <w:color w:val="000000"/>
                <w:sz w:val="20"/>
                <w:szCs w:val="20"/>
              </w:rPr>
              <w:t xml:space="preserve"> Corrected (Monochromatic)</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CHLa_C</w:t>
            </w:r>
            <w:proofErr w:type="spellEnd"/>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Chlorophyll b (Trichromatic)</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CHLb_Tri_N</w:t>
            </w:r>
            <w:proofErr w:type="spellEnd"/>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Chlorophyll c (Trichromatic)</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CHLc_Tri_N</w:t>
            </w:r>
            <w:proofErr w:type="spellEnd"/>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Nitrate+Nitrite</w:t>
            </w:r>
            <w:proofErr w:type="spellEnd"/>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NO23F</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Turbidity</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Turbidity</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Secchi Disk</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SECCHI</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Water Depth</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WDEPTH</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Specific Conductance</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SpCond</w:t>
            </w:r>
            <w:proofErr w:type="spellEnd"/>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pH</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pH</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Dissolved oxygen</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DO</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Dissolved oxygen, percent saturation</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DO_p</w:t>
            </w:r>
            <w:proofErr w:type="spellEnd"/>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Salinity</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SALT</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Coliform, Fecal</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FECCOL</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Enterococcus</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ENTERO</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spellStart"/>
            <w:proofErr w:type="gramStart"/>
            <w:r w:rsidRPr="00942922">
              <w:rPr>
                <w:rFonts w:ascii="Calibri" w:eastAsia="Times New Roman" w:hAnsi="Calibri" w:cs="Times New Roman"/>
                <w:color w:val="000000"/>
                <w:sz w:val="20"/>
                <w:szCs w:val="20"/>
              </w:rPr>
              <w:t>Kjeldahl</w:t>
            </w:r>
            <w:proofErr w:type="spellEnd"/>
            <w:r w:rsidRPr="00942922">
              <w:rPr>
                <w:rFonts w:ascii="Calibri" w:eastAsia="Times New Roman" w:hAnsi="Calibri" w:cs="Times New Roman"/>
                <w:color w:val="000000"/>
                <w:sz w:val="20"/>
                <w:szCs w:val="20"/>
              </w:rPr>
              <w:t xml:space="preserve"> Nitrogen,</w:t>
            </w:r>
            <w:proofErr w:type="gramEnd"/>
            <w:r w:rsidRPr="00942922">
              <w:rPr>
                <w:rFonts w:ascii="Calibri" w:eastAsia="Times New Roman" w:hAnsi="Calibri" w:cs="Times New Roman"/>
                <w:color w:val="000000"/>
                <w:sz w:val="20"/>
                <w:szCs w:val="20"/>
              </w:rPr>
              <w:t xml:space="preserve"> Dissolved</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DTKN</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Total Phosphorus</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TP</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Kjeldahl</w:t>
            </w:r>
            <w:proofErr w:type="spellEnd"/>
            <w:r w:rsidRPr="00942922">
              <w:rPr>
                <w:rFonts w:ascii="Calibri" w:eastAsia="Times New Roman" w:hAnsi="Calibri" w:cs="Times New Roman"/>
                <w:color w:val="000000"/>
                <w:sz w:val="20"/>
                <w:szCs w:val="20"/>
              </w:rPr>
              <w:t xml:space="preserve"> Nitrogen</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TKN</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OD664b/OD665a</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OD664b/OD665a</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Pheophytin a</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PHEA</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human-specific HF183 Bacteroides genetic marker</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HF183</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Fluridone</w:t>
            </w:r>
            <w:proofErr w:type="spellEnd"/>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Fluridone</w:t>
            </w:r>
            <w:proofErr w:type="spellEnd"/>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Linuron</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Linuron</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Methylchlorophenoxypropionic</w:t>
            </w:r>
            <w:proofErr w:type="spellEnd"/>
            <w:r w:rsidRPr="00942922">
              <w:rPr>
                <w:rFonts w:ascii="Calibri" w:eastAsia="Times New Roman" w:hAnsi="Calibri" w:cs="Times New Roman"/>
                <w:color w:val="000000"/>
                <w:sz w:val="20"/>
                <w:szCs w:val="20"/>
              </w:rPr>
              <w:t xml:space="preserve"> acid</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MCPP</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Naproxen</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Naproxen</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2,4-Dichlorophenoxyacetic acid</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2, 4-D</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Triclopyr</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Triclopyr</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TDS</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W-TDS</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lastRenderedPageBreak/>
              <w:t>Chloride</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W-CL-IC</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Sulfate</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W-SO4-IC</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Sucralose</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Sucra</w:t>
            </w:r>
            <w:proofErr w:type="spellEnd"/>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Acetaminophen</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Aceta</w:t>
            </w:r>
            <w:proofErr w:type="spellEnd"/>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Bentazon</w:t>
            </w:r>
            <w:proofErr w:type="spellEnd"/>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Bentazon</w:t>
            </w:r>
            <w:proofErr w:type="spellEnd"/>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Carbamazepine</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Carbamazepine</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Diuron</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Diuron</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Fenuron</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Fenuron</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Hydrocodone</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Hydrocodone</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Ibuprofen</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Ibuprofen</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Imazapyr</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Imazapyr</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Imidacloprid</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Imidacloprid</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Primidone</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Primidone</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Pyraclostrobin</w:t>
            </w:r>
            <w:proofErr w:type="spellEnd"/>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Pyraclostrobin</w:t>
            </w:r>
            <w:proofErr w:type="spellEnd"/>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Color (true)</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W-COLOR</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 xml:space="preserve">coastal bird specific </w:t>
            </w:r>
            <w:proofErr w:type="spellStart"/>
            <w:r w:rsidRPr="00942922">
              <w:rPr>
                <w:rFonts w:ascii="Calibri" w:eastAsia="Times New Roman" w:hAnsi="Calibri" w:cs="Times New Roman"/>
                <w:color w:val="000000"/>
                <w:sz w:val="20"/>
                <w:szCs w:val="20"/>
              </w:rPr>
              <w:t>Catellicoccus</w:t>
            </w:r>
            <w:proofErr w:type="spellEnd"/>
            <w:r w:rsidRPr="00942922">
              <w:rPr>
                <w:rFonts w:ascii="Calibri" w:eastAsia="Times New Roman" w:hAnsi="Calibri" w:cs="Times New Roman"/>
                <w:color w:val="000000"/>
                <w:sz w:val="20"/>
                <w:szCs w:val="20"/>
              </w:rPr>
              <w:t xml:space="preserve"> </w:t>
            </w:r>
            <w:proofErr w:type="spellStart"/>
            <w:r w:rsidRPr="00942922">
              <w:rPr>
                <w:rFonts w:ascii="Calibri" w:eastAsia="Times New Roman" w:hAnsi="Calibri" w:cs="Times New Roman"/>
                <w:color w:val="000000"/>
                <w:sz w:val="20"/>
                <w:szCs w:val="20"/>
              </w:rPr>
              <w:t>marimammalium</w:t>
            </w:r>
            <w:proofErr w:type="spellEnd"/>
            <w:r w:rsidRPr="00942922">
              <w:rPr>
                <w:rFonts w:ascii="Calibri" w:eastAsia="Times New Roman" w:hAnsi="Calibri" w:cs="Times New Roman"/>
                <w:color w:val="000000"/>
                <w:sz w:val="20"/>
                <w:szCs w:val="20"/>
              </w:rPr>
              <w:t xml:space="preserve"> Gull2 genetic marker</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GULL2</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bird specific Helicobacter GFD genetic marker</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GFD</w:t>
            </w:r>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Bromide</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W-BR-IC</w:t>
            </w:r>
          </w:p>
        </w:tc>
      </w:tr>
      <w:tr w:rsidR="00094078" w:rsidRPr="00942922" w:rsidTr="00942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 xml:space="preserve">Ruminant specific Bacteroidetes </w:t>
            </w:r>
            <w:proofErr w:type="spellStart"/>
            <w:r w:rsidRPr="00942922">
              <w:rPr>
                <w:rFonts w:ascii="Calibri" w:eastAsia="Times New Roman" w:hAnsi="Calibri" w:cs="Times New Roman"/>
                <w:color w:val="000000"/>
                <w:sz w:val="20"/>
                <w:szCs w:val="20"/>
              </w:rPr>
              <w:t>BacR</w:t>
            </w:r>
            <w:proofErr w:type="spellEnd"/>
            <w:r w:rsidRPr="00942922">
              <w:rPr>
                <w:rFonts w:ascii="Calibri" w:eastAsia="Times New Roman" w:hAnsi="Calibri" w:cs="Times New Roman"/>
                <w:color w:val="000000"/>
                <w:sz w:val="20"/>
                <w:szCs w:val="20"/>
              </w:rPr>
              <w:t xml:space="preserve"> genetic marker</w:t>
            </w:r>
          </w:p>
        </w:tc>
        <w:tc>
          <w:tcPr>
            <w:tcW w:w="1063" w:type="pct"/>
            <w:noWrap/>
            <w:hideMark/>
          </w:tcPr>
          <w:p w:rsidR="00094078" w:rsidRPr="00942922" w:rsidRDefault="00094078" w:rsidP="0009407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rPr>
            </w:pPr>
            <w:proofErr w:type="spellStart"/>
            <w:r w:rsidRPr="00942922">
              <w:rPr>
                <w:rFonts w:ascii="Calibri" w:eastAsia="Times New Roman" w:hAnsi="Calibri" w:cs="Times New Roman"/>
                <w:color w:val="000000"/>
                <w:sz w:val="20"/>
                <w:szCs w:val="20"/>
              </w:rPr>
              <w:t>BacR</w:t>
            </w:r>
            <w:proofErr w:type="spellEnd"/>
          </w:p>
        </w:tc>
      </w:tr>
      <w:tr w:rsidR="00094078" w:rsidRPr="00942922" w:rsidTr="00942922">
        <w:trPr>
          <w:trHeight w:val="300"/>
        </w:trPr>
        <w:tc>
          <w:tcPr>
            <w:cnfStyle w:val="001000000000" w:firstRow="0" w:lastRow="0" w:firstColumn="1" w:lastColumn="0" w:oddVBand="0" w:evenVBand="0" w:oddHBand="0" w:evenHBand="0" w:firstRowFirstColumn="0" w:firstRowLastColumn="0" w:lastRowFirstColumn="0" w:lastRowLastColumn="0"/>
            <w:tcW w:w="3937" w:type="pct"/>
            <w:noWrap/>
            <w:hideMark/>
          </w:tcPr>
          <w:p w:rsidR="00094078" w:rsidRPr="00942922" w:rsidRDefault="00094078" w:rsidP="00094078">
            <w:pPr>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canine-specific DG3 Bacteroides genetic marker</w:t>
            </w:r>
          </w:p>
        </w:tc>
        <w:tc>
          <w:tcPr>
            <w:tcW w:w="1063" w:type="pct"/>
            <w:noWrap/>
            <w:hideMark/>
          </w:tcPr>
          <w:p w:rsidR="00094078" w:rsidRPr="00942922" w:rsidRDefault="00094078" w:rsidP="000940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rPr>
            </w:pPr>
            <w:r w:rsidRPr="00942922">
              <w:rPr>
                <w:rFonts w:ascii="Calibri" w:eastAsia="Times New Roman" w:hAnsi="Calibri" w:cs="Times New Roman"/>
                <w:color w:val="000000"/>
                <w:sz w:val="20"/>
                <w:szCs w:val="20"/>
              </w:rPr>
              <w:t>DG3</w:t>
            </w:r>
          </w:p>
        </w:tc>
      </w:tr>
    </w:tbl>
    <w:p w:rsidR="00094078" w:rsidRDefault="00094078" w:rsidP="00FF4524"/>
    <w:p w:rsidR="002E0EEB" w:rsidRPr="00D508E1" w:rsidRDefault="002E0EEB" w:rsidP="00D508E1">
      <w:pPr>
        <w:pStyle w:val="Heading2"/>
        <w:rPr>
          <w:color w:val="auto"/>
        </w:rPr>
      </w:pPr>
      <w:r w:rsidRPr="00D508E1">
        <w:rPr>
          <w:color w:val="auto"/>
        </w:rPr>
        <w:t>Figures</w:t>
      </w:r>
    </w:p>
    <w:p w:rsidR="00094078" w:rsidRDefault="00B24F21" w:rsidP="00FF4524">
      <w:r>
        <w:t xml:space="preserve">The following are figures of the open water </w:t>
      </w:r>
      <w:r w:rsidR="00235893">
        <w:t xml:space="preserve">stations </w:t>
      </w:r>
      <w:r>
        <w:t xml:space="preserve">(not near a water control structure) </w:t>
      </w:r>
      <w:r w:rsidR="00235893">
        <w:t>in Guana Lake that would most likely be included in an assessment by FDEP.</w:t>
      </w:r>
      <w:r w:rsidR="00702C69">
        <w:t xml:space="preserve"> The chlorophyll </w:t>
      </w:r>
      <w:r w:rsidR="00702C69" w:rsidRPr="00702C69">
        <w:rPr>
          <w:i/>
        </w:rPr>
        <w:t>a</w:t>
      </w:r>
      <w:r w:rsidR="00702C69">
        <w:t xml:space="preserve"> data presented in the figures and used in calculations of the annual geometric mean has had the pheophytin correction. </w:t>
      </w:r>
      <w:bookmarkStart w:id="1" w:name="_GoBack"/>
      <w:bookmarkEnd w:id="1"/>
    </w:p>
    <w:p w:rsidR="00B24F21" w:rsidRPr="00D508E1" w:rsidRDefault="005C0A1E" w:rsidP="00D508E1">
      <w:pPr>
        <w:pStyle w:val="Heading3"/>
        <w:rPr>
          <w:color w:val="auto"/>
        </w:rPr>
      </w:pPr>
      <w:r w:rsidRPr="00D508E1">
        <w:rPr>
          <w:color w:val="auto"/>
        </w:rPr>
        <w:lastRenderedPageBreak/>
        <w:t xml:space="preserve">Chlorophyll </w:t>
      </w:r>
    </w:p>
    <w:p w:rsidR="005C0A1E" w:rsidRDefault="005C0A1E" w:rsidP="005C0A1E">
      <w:r>
        <w:rPr>
          <w:noProof/>
        </w:rPr>
        <w:drawing>
          <wp:inline distT="0" distB="0" distL="0" distR="0">
            <wp:extent cx="5943600" cy="3757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wlake_chla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rsidR="005C0A1E" w:rsidRPr="00D508E1" w:rsidRDefault="005C0A1E" w:rsidP="00D508E1">
      <w:pPr>
        <w:pStyle w:val="Heading3"/>
        <w:rPr>
          <w:color w:val="auto"/>
        </w:rPr>
      </w:pPr>
      <w:r w:rsidRPr="00D508E1">
        <w:rPr>
          <w:color w:val="auto"/>
        </w:rPr>
        <w:t>Total Nitrogen (mg/L)</w:t>
      </w:r>
    </w:p>
    <w:p w:rsidR="005C0A1E" w:rsidRDefault="005C0A1E" w:rsidP="005C0A1E">
      <w:r>
        <w:rPr>
          <w:noProof/>
        </w:rPr>
        <w:drawing>
          <wp:inline distT="0" distB="0" distL="0" distR="0">
            <wp:extent cx="5943600" cy="3757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wlake_T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rsidR="005C0A1E" w:rsidRPr="00D508E1" w:rsidRDefault="005C0A1E" w:rsidP="00D508E1">
      <w:pPr>
        <w:pStyle w:val="Heading3"/>
        <w:rPr>
          <w:color w:val="auto"/>
        </w:rPr>
      </w:pPr>
      <w:r w:rsidRPr="00D508E1">
        <w:rPr>
          <w:color w:val="auto"/>
        </w:rPr>
        <w:lastRenderedPageBreak/>
        <w:t>Total Phosphorus (mg/L)</w:t>
      </w:r>
    </w:p>
    <w:p w:rsidR="005C0A1E" w:rsidRDefault="005C0A1E" w:rsidP="005C0A1E">
      <w:r>
        <w:rPr>
          <w:noProof/>
        </w:rPr>
        <w:drawing>
          <wp:inline distT="0" distB="0" distL="0" distR="0">
            <wp:extent cx="5943600" cy="375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wlake_T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rsidR="005C0A1E" w:rsidRPr="00D508E1" w:rsidRDefault="005C0A1E" w:rsidP="00D508E1">
      <w:pPr>
        <w:pStyle w:val="Heading3"/>
        <w:rPr>
          <w:color w:val="auto"/>
        </w:rPr>
      </w:pPr>
      <w:r w:rsidRPr="00D508E1">
        <w:rPr>
          <w:color w:val="auto"/>
        </w:rPr>
        <w:t>Enterococcus</w:t>
      </w:r>
    </w:p>
    <w:p w:rsidR="005C0A1E" w:rsidRDefault="005C0A1E" w:rsidP="005C0A1E">
      <w:r>
        <w:rPr>
          <w:noProof/>
        </w:rPr>
        <w:drawing>
          <wp:inline distT="0" distB="0" distL="0" distR="0">
            <wp:extent cx="5943600" cy="37579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wlake_enter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rsidR="005C0A1E" w:rsidRDefault="005C0A1E" w:rsidP="005C0A1E">
      <w:r>
        <w:lastRenderedPageBreak/>
        <w:t xml:space="preserve">When the extreme data point is removed, most of the values are below 100 MPN/100mL. </w:t>
      </w:r>
      <w:r>
        <w:rPr>
          <w:noProof/>
        </w:rPr>
        <w:drawing>
          <wp:inline distT="0" distB="0" distL="0" distR="0">
            <wp:extent cx="5943600" cy="3757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lake_entero_yli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rsidR="005C0A1E" w:rsidRPr="00D508E1" w:rsidRDefault="005C0A1E" w:rsidP="00D508E1">
      <w:pPr>
        <w:pStyle w:val="Heading3"/>
        <w:rPr>
          <w:color w:val="auto"/>
        </w:rPr>
      </w:pPr>
      <w:r w:rsidRPr="00D508E1">
        <w:rPr>
          <w:color w:val="auto"/>
        </w:rPr>
        <w:t>Salinity</w:t>
      </w:r>
    </w:p>
    <w:p w:rsidR="005C0A1E" w:rsidRDefault="00D508E1" w:rsidP="00D508E1">
      <w:r>
        <w:rPr>
          <w:noProof/>
        </w:rPr>
        <w:drawing>
          <wp:inline distT="0" distB="0" distL="0" distR="0">
            <wp:extent cx="5943600" cy="3757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wlake_sal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inline>
        </w:drawing>
      </w:r>
    </w:p>
    <w:p w:rsidR="002E0EEB" w:rsidRPr="00D508E1" w:rsidRDefault="002E0EEB" w:rsidP="00D508E1">
      <w:pPr>
        <w:pStyle w:val="Heading2"/>
        <w:rPr>
          <w:color w:val="auto"/>
        </w:rPr>
      </w:pPr>
      <w:r w:rsidRPr="00D508E1">
        <w:rPr>
          <w:color w:val="auto"/>
        </w:rPr>
        <w:lastRenderedPageBreak/>
        <w:t>Annual Geometric Means</w:t>
      </w:r>
    </w:p>
    <w:p w:rsidR="00B24F21" w:rsidRDefault="00B24F21" w:rsidP="00FF4524">
      <w:r>
        <w:t xml:space="preserve">Below are the calculated geometric means of each year of sampling. </w:t>
      </w:r>
      <w:r w:rsidR="00500F52">
        <w:t xml:space="preserve">“Year 1” (July 2017-June 2018), only includes data collected at the Lake Middle site. For more direct comparison in “Year 2” (July 2018 – June 2019), all open water lake sites and Lake Middle data are presented. </w:t>
      </w:r>
    </w:p>
    <w:p w:rsidR="00500F52" w:rsidRDefault="00942922" w:rsidP="00500F52">
      <w:pPr>
        <w:jc w:val="center"/>
      </w:pPr>
      <w:r>
        <w:rPr>
          <w:noProof/>
        </w:rPr>
        <w:drawing>
          <wp:inline distT="0" distB="0" distL="0" distR="0">
            <wp:extent cx="5124704"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anaAGMResults.png"/>
                    <pic:cNvPicPr/>
                  </pic:nvPicPr>
                  <pic:blipFill rotWithShape="1">
                    <a:blip r:embed="rId16">
                      <a:extLst>
                        <a:ext uri="{28A0092B-C50C-407E-A947-70E740481C1C}">
                          <a14:useLocalDpi xmlns:a14="http://schemas.microsoft.com/office/drawing/2010/main" val="0"/>
                        </a:ext>
                      </a:extLst>
                    </a:blip>
                    <a:srcRect b="13969"/>
                    <a:stretch/>
                  </pic:blipFill>
                  <pic:spPr bwMode="auto">
                    <a:xfrm>
                      <a:off x="0" y="0"/>
                      <a:ext cx="5126321" cy="3696866"/>
                    </a:xfrm>
                    <a:prstGeom prst="rect">
                      <a:avLst/>
                    </a:prstGeom>
                    <a:ln>
                      <a:noFill/>
                    </a:ln>
                    <a:extLst>
                      <a:ext uri="{53640926-AAD7-44D8-BBD7-CCE9431645EC}">
                        <a14:shadowObscured xmlns:a14="http://schemas.microsoft.com/office/drawing/2010/main"/>
                      </a:ext>
                    </a:extLst>
                  </pic:spPr>
                </pic:pic>
              </a:graphicData>
            </a:graphic>
          </wp:inline>
        </w:drawing>
      </w:r>
    </w:p>
    <w:p w:rsidR="00F77471" w:rsidRPr="00D508E1" w:rsidRDefault="00F77471" w:rsidP="00D508E1">
      <w:pPr>
        <w:pStyle w:val="Heading2"/>
        <w:rPr>
          <w:color w:val="auto"/>
        </w:rPr>
      </w:pPr>
      <w:r w:rsidRPr="00D508E1">
        <w:rPr>
          <w:color w:val="auto"/>
        </w:rPr>
        <w:lastRenderedPageBreak/>
        <w:t>Waterbody Criteria</w:t>
      </w:r>
    </w:p>
    <w:p w:rsidR="00F77471" w:rsidRPr="00B84874" w:rsidRDefault="00F77471" w:rsidP="00F77471">
      <w:pPr>
        <w:jc w:val="center"/>
      </w:pPr>
      <w:r>
        <w:rPr>
          <w:noProof/>
        </w:rPr>
        <w:drawing>
          <wp:inline distT="0" distB="0" distL="0" distR="0">
            <wp:extent cx="5257800" cy="346689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ana WQ Criteria_Lake.png"/>
                    <pic:cNvPicPr/>
                  </pic:nvPicPr>
                  <pic:blipFill rotWithShape="1">
                    <a:blip r:embed="rId17">
                      <a:extLst>
                        <a:ext uri="{28A0092B-C50C-407E-A947-70E740481C1C}">
                          <a14:useLocalDpi xmlns:a14="http://schemas.microsoft.com/office/drawing/2010/main" val="0"/>
                        </a:ext>
                      </a:extLst>
                    </a:blip>
                    <a:srcRect l="8975" r="12766" b="8262"/>
                    <a:stretch/>
                  </pic:blipFill>
                  <pic:spPr bwMode="auto">
                    <a:xfrm>
                      <a:off x="0" y="0"/>
                      <a:ext cx="5263280" cy="34705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439019" cy="37433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ana WQ Criteria_River.png"/>
                    <pic:cNvPicPr/>
                  </pic:nvPicPr>
                  <pic:blipFill rotWithShape="1">
                    <a:blip r:embed="rId18">
                      <a:extLst>
                        <a:ext uri="{28A0092B-C50C-407E-A947-70E740481C1C}">
                          <a14:useLocalDpi xmlns:a14="http://schemas.microsoft.com/office/drawing/2010/main" val="0"/>
                        </a:ext>
                      </a:extLst>
                    </a:blip>
                    <a:srcRect l="9615" r="8654"/>
                    <a:stretch/>
                  </pic:blipFill>
                  <pic:spPr bwMode="auto">
                    <a:xfrm>
                      <a:off x="0" y="0"/>
                      <a:ext cx="5443689" cy="3746539"/>
                    </a:xfrm>
                    <a:prstGeom prst="rect">
                      <a:avLst/>
                    </a:prstGeom>
                    <a:ln>
                      <a:noFill/>
                    </a:ln>
                    <a:extLst>
                      <a:ext uri="{53640926-AAD7-44D8-BBD7-CCE9431645EC}">
                        <a14:shadowObscured xmlns:a14="http://schemas.microsoft.com/office/drawing/2010/main"/>
                      </a:ext>
                    </a:extLst>
                  </pic:spPr>
                </pic:pic>
              </a:graphicData>
            </a:graphic>
          </wp:inline>
        </w:drawing>
      </w:r>
    </w:p>
    <w:sectPr w:rsidR="00F77471" w:rsidRPr="00B84874">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0EEB" w:rsidRDefault="002E0EEB" w:rsidP="002E0EEB">
      <w:pPr>
        <w:spacing w:after="0" w:line="240" w:lineRule="auto"/>
      </w:pPr>
      <w:r>
        <w:separator/>
      </w:r>
    </w:p>
  </w:endnote>
  <w:endnote w:type="continuationSeparator" w:id="0">
    <w:p w:rsidR="002E0EEB" w:rsidRDefault="002E0EEB" w:rsidP="002E0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EEB" w:rsidRDefault="00942922">
    <w:pPr>
      <w:pStyle w:val="Footer"/>
    </w:pPr>
    <w:r>
      <w:t xml:space="preserve">Created on </w:t>
    </w:r>
    <w:r>
      <w:fldChar w:fldCharType="begin"/>
    </w:r>
    <w:r>
      <w:instrText xml:space="preserve"> DATE  \@ "MMMM d, yyyy"  \* MERGEFORMAT </w:instrText>
    </w:r>
    <w:r>
      <w:fldChar w:fldCharType="separate"/>
    </w:r>
    <w:r w:rsidR="00702C69">
      <w:rPr>
        <w:noProof/>
      </w:rPr>
      <w:t>July 19, 2019</w:t>
    </w:r>
    <w:r>
      <w:fldChar w:fldCharType="end"/>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0EEB" w:rsidRDefault="002E0EEB" w:rsidP="002E0EEB">
      <w:pPr>
        <w:spacing w:after="0" w:line="240" w:lineRule="auto"/>
      </w:pPr>
      <w:r>
        <w:separator/>
      </w:r>
    </w:p>
  </w:footnote>
  <w:footnote w:type="continuationSeparator" w:id="0">
    <w:p w:rsidR="002E0EEB" w:rsidRDefault="002E0EEB" w:rsidP="002E0E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4789112"/>
      <w:docPartObj>
        <w:docPartGallery w:val="Watermarks"/>
        <w:docPartUnique/>
      </w:docPartObj>
    </w:sdtPr>
    <w:sdtEndPr/>
    <w:sdtContent>
      <w:p w:rsidR="002E0EEB" w:rsidRDefault="00702C6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CD8"/>
    <w:multiLevelType w:val="hybridMultilevel"/>
    <w:tmpl w:val="BA2CE1D6"/>
    <w:lvl w:ilvl="0" w:tplc="08587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BE6155"/>
    <w:multiLevelType w:val="hybridMultilevel"/>
    <w:tmpl w:val="BAEEACCA"/>
    <w:lvl w:ilvl="0" w:tplc="C770B7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524"/>
    <w:rsid w:val="00013870"/>
    <w:rsid w:val="00094078"/>
    <w:rsid w:val="000E5C0B"/>
    <w:rsid w:val="00235893"/>
    <w:rsid w:val="002E0EEB"/>
    <w:rsid w:val="003F6DF3"/>
    <w:rsid w:val="00500F52"/>
    <w:rsid w:val="005C0A1E"/>
    <w:rsid w:val="00702C69"/>
    <w:rsid w:val="00721DEE"/>
    <w:rsid w:val="00942922"/>
    <w:rsid w:val="00A86D97"/>
    <w:rsid w:val="00B24F21"/>
    <w:rsid w:val="00B84874"/>
    <w:rsid w:val="00BF1024"/>
    <w:rsid w:val="00D508E1"/>
    <w:rsid w:val="00D83CE7"/>
    <w:rsid w:val="00F77471"/>
    <w:rsid w:val="00F81B0B"/>
    <w:rsid w:val="00FF4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CF98E7"/>
  <w15:chartTrackingRefBased/>
  <w15:docId w15:val="{3C394F73-5CF8-42A2-B63A-2888B21CE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8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4524"/>
    <w:rPr>
      <w:color w:val="0563C1" w:themeColor="hyperlink"/>
      <w:u w:val="single"/>
    </w:rPr>
  </w:style>
  <w:style w:type="character" w:styleId="UnresolvedMention">
    <w:name w:val="Unresolved Mention"/>
    <w:basedOn w:val="DefaultParagraphFont"/>
    <w:uiPriority w:val="99"/>
    <w:semiHidden/>
    <w:unhideWhenUsed/>
    <w:rsid w:val="00FF4524"/>
    <w:rPr>
      <w:color w:val="605E5C"/>
      <w:shd w:val="clear" w:color="auto" w:fill="E1DFDD"/>
    </w:rPr>
  </w:style>
  <w:style w:type="table" w:styleId="GridTable6Colorful">
    <w:name w:val="Grid Table 6 Colorful"/>
    <w:basedOn w:val="TableNormal"/>
    <w:uiPriority w:val="51"/>
    <w:rsid w:val="0009407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2E0E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EEB"/>
  </w:style>
  <w:style w:type="paragraph" w:styleId="Footer">
    <w:name w:val="footer"/>
    <w:basedOn w:val="Normal"/>
    <w:link w:val="FooterChar"/>
    <w:uiPriority w:val="99"/>
    <w:unhideWhenUsed/>
    <w:rsid w:val="002E0E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EEB"/>
  </w:style>
  <w:style w:type="paragraph" w:styleId="ListParagraph">
    <w:name w:val="List Paragraph"/>
    <w:basedOn w:val="Normal"/>
    <w:uiPriority w:val="34"/>
    <w:qFormat/>
    <w:rsid w:val="002E0EEB"/>
    <w:pPr>
      <w:ind w:left="720"/>
      <w:contextualSpacing/>
    </w:pPr>
  </w:style>
  <w:style w:type="character" w:customStyle="1" w:styleId="Heading1Char">
    <w:name w:val="Heading 1 Char"/>
    <w:basedOn w:val="DefaultParagraphFont"/>
    <w:link w:val="Heading1"/>
    <w:uiPriority w:val="9"/>
    <w:rsid w:val="00D508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08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08E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508E1"/>
    <w:pPr>
      <w:outlineLvl w:val="9"/>
    </w:pPr>
  </w:style>
  <w:style w:type="paragraph" w:styleId="TOC1">
    <w:name w:val="toc 1"/>
    <w:basedOn w:val="Normal"/>
    <w:next w:val="Normal"/>
    <w:autoRedefine/>
    <w:uiPriority w:val="39"/>
    <w:unhideWhenUsed/>
    <w:rsid w:val="00D508E1"/>
    <w:pPr>
      <w:spacing w:after="100"/>
    </w:pPr>
  </w:style>
  <w:style w:type="paragraph" w:styleId="TOC2">
    <w:name w:val="toc 2"/>
    <w:basedOn w:val="Normal"/>
    <w:next w:val="Normal"/>
    <w:autoRedefine/>
    <w:uiPriority w:val="39"/>
    <w:unhideWhenUsed/>
    <w:rsid w:val="00D508E1"/>
    <w:pPr>
      <w:spacing w:after="100"/>
      <w:ind w:left="220"/>
    </w:pPr>
  </w:style>
  <w:style w:type="paragraph" w:styleId="TOC3">
    <w:name w:val="toc 3"/>
    <w:basedOn w:val="Normal"/>
    <w:next w:val="Normal"/>
    <w:autoRedefine/>
    <w:uiPriority w:val="39"/>
    <w:unhideWhenUsed/>
    <w:rsid w:val="00D508E1"/>
    <w:pPr>
      <w:spacing w:after="100"/>
      <w:ind w:left="440"/>
    </w:pPr>
  </w:style>
  <w:style w:type="table" w:styleId="ListTable1Light">
    <w:name w:val="List Table 1 Light"/>
    <w:basedOn w:val="TableNormal"/>
    <w:uiPriority w:val="46"/>
    <w:rsid w:val="009429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648986">
      <w:bodyDiv w:val="1"/>
      <w:marLeft w:val="0"/>
      <w:marRight w:val="0"/>
      <w:marTop w:val="0"/>
      <w:marBottom w:val="0"/>
      <w:divBdr>
        <w:top w:val="none" w:sz="0" w:space="0" w:color="auto"/>
        <w:left w:val="none" w:sz="0" w:space="0" w:color="auto"/>
        <w:bottom w:val="none" w:sz="0" w:space="0" w:color="auto"/>
        <w:right w:val="none" w:sz="0" w:space="0" w:color="auto"/>
      </w:divBdr>
    </w:div>
    <w:div w:id="200346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Nikki.Dix@floridadep.gov"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847E3-B49A-4DDB-8E45-33722CB71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Dunnigan, Shannon</dc:creator>
  <cp:keywords/>
  <dc:description/>
  <cp:lastModifiedBy>Dunnigan, Shannon</cp:lastModifiedBy>
  <cp:revision>6</cp:revision>
  <dcterms:created xsi:type="dcterms:W3CDTF">2019-07-18T17:56:00Z</dcterms:created>
  <dcterms:modified xsi:type="dcterms:W3CDTF">2019-07-19T19:46:00Z</dcterms:modified>
</cp:coreProperties>
</file>