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jc w:val="left"/>
        <w:rPr>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Phase 2c MSAV Algorithm Development</w:t>
      </w:r>
      <w:r w:rsidDel="00000000" w:rsidR="00000000" w:rsidRPr="00000000">
        <w:rPr>
          <w:rtl w:val="0"/>
        </w:rPr>
      </w:r>
    </w:p>
    <w:p w:rsidR="00000000" w:rsidDel="00000000" w:rsidP="00000000" w:rsidRDefault="00000000" w:rsidRPr="00000000" w14:paraId="00000002">
      <w:pPr>
        <w:widowControl w:val="1"/>
        <w:spacing w:after="0" w:line="312" w:lineRule="auto"/>
        <w:ind w:firstLine="720"/>
        <w:jc w:val="both"/>
        <w:rPr/>
      </w:pPr>
      <w:r w:rsidDel="00000000" w:rsidR="00000000" w:rsidRPr="00000000">
        <w:rPr>
          <w:rtl w:val="0"/>
        </w:rPr>
        <w:t>Phase 2c produced the rule-based Makaton Symbol Arrangement and Validation Algorithm used in the MakaLearn Playground. The final MSAV component checks whether PECS/AAC cards belong to the approved library, whether each card is being used correctly in the message, whether the cards are in the right order, and whether they make sense together. It is separate from the MediaPipe and CNN gesture-recognition process reported in Phase 2b.</w:t>
      </w:r>
    </w:p>
    <w:p w:rsidR="00000000" w:rsidDel="00000000" w:rsidP="00000000" w:rsidRDefault="00000000" w:rsidRPr="00000000" w14:paraId="00000003">
      <w:pPr>
        <w:pStyle w:val="Heading1"/>
        <w:keepNext w:val="1"/>
        <w:rPr/>
      </w:pPr>
      <w:r w:rsidDel="00000000" w:rsidR="00000000" w:rsidRPr="00000000">
        <w:rPr>
          <w:rFonts w:ascii="Times New Roman" w:cs="Times New Roman" w:eastAsia="Times New Roman" w:hAnsi="Times New Roman"/>
          <w:b w:val="1"/>
          <w:bCs w:val="1"/>
          <w:i w:val="0"/>
          <w:iCs w:val="0"/>
          <w:color w:val="000000"/>
          <w:rtl w:val="0"/>
        </w:rPr>
        <w:t xml:space="preserve">Final Algorithm</w:t>
      </w:r>
      <w:r w:rsidDel="00000000" w:rsidR="00000000" w:rsidRPr="00000000">
        <w:rPr>
          <w:rtl w:val="0"/>
        </w:rPr>
      </w:r>
    </w:p>
    <w:p w:rsidR="00000000" w:rsidDel="00000000" w:rsidP="00000000" w:rsidRDefault="00000000" w:rsidRPr="00000000" w14:paraId="00000004">
      <w:pPr>
        <w:widowControl w:val="1"/>
        <w:spacing w:after="0" w:line="312" w:lineRule="auto"/>
        <w:ind w:firstLine="720"/>
        <w:jc w:val="both"/>
        <w:rPr/>
      </w:pPr>
      <w:r w:rsidDel="00000000" w:rsidR="00000000" w:rsidRPr="00000000">
        <w:rPr>
          <w:rtl w:val="0"/>
        </w:rPr>
        <w:t>The implemented library contained 50 cards organized into seven learner-facing categories and ten card types. A card type tells MSAV how a card is used in a message. For example, I represents the person communicating, Eat represents an action, and Food represents a thing. The Playground limited an arrangement to five cards and rejected cards outside the active library.</w:t>
      </w:r>
    </w:p>
    <w:p w:rsidR="00000000" w:rsidDel="00000000" w:rsidP="00000000" w:rsidRDefault="00000000" w:rsidRPr="00000000" w14:paraId="00000005">
      <w:pPr>
        <w:widowControl w:val="1"/>
        <w:spacing w:after="0" w:line="312" w:lineRule="auto"/>
        <w:ind w:firstLine="720"/>
        <w:jc w:val="both"/>
        <w:rPr/>
      </w:pPr>
      <w:r w:rsidDel="00000000" w:rsidR="00000000" w:rsidRPr="00000000">
        <w:rPr>
          <w:rFonts w:ascii="Times New Roman" w:cs="Times New Roman" w:eastAsia="Times New Roman" w:hAnsi="Times New Roman"/>
          <w:b w:val="0"/>
          <w:bCs w:val="0"/>
          <w:i w:val="0"/>
          <w:iCs w:val="0"/>
          <w:color w:val="000000"/>
          <w:rtl w:val="0"/>
        </w:rPr>
        <w:t>Development began with basic card-order matching. The rules were then refined to support meaningful single cards, subject-verb agreement, requests, commands, polite expressions, greetings, and short sentences. Semantic restrictions were added after checking the card order alone was found to be too broad. For example, I + Eat + Food is accepted, while I + Eat + Water is rejected even though both Food and Water are objects.</w:t>
      </w: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Table 6. Final MSAV Scope</w:t>
      </w:r>
      <w:r w:rsidDel="00000000" w:rsidR="00000000" w:rsidRPr="00000000">
        <w:rPr>
          <w:rtl w:val="0"/>
        </w:rPr>
      </w:r>
    </w:p>
    <w:tbl>
      <w:tblPr>
        <w:tblStyle w:val="Table1"/>
        <w:tblW w:w="96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824"/>
        <w:gridCol w:w="4824"/>
        <w:tblGridChange w:id="0">
          <w:tblGrid>
            <w:gridCol w:w="4824"/>
            <w:gridCol w:w="4824"/>
          </w:tblGrid>
        </w:tblGridChange>
      </w:tblGrid>
      <w:tr>
        <w:trPr>
          <w:cantSplit w:val="1"/>
          <w:tblHeader w:val="1"/>
        </w:trPr>
        <w:tc>
          <w:tcPr>
            <w:tcW w:type="dxa" w:w="4320"/>
            <w:shd w:fill="ffffff" w:val="clear"/>
            <w:tcMar>
              <w:top w:w="90.0" w:type="dxa"/>
              <w:bottom w:w="90.0" w:type="dxa"/>
            </w:tcMar>
            <w:vAlign w:val="center"/>
          </w:tcPr>
          <w:p w:rsidR="00000000" w:rsidDel="00000000" w:rsidP="00000000" w:rsidRDefault="00000000" w:rsidRPr="00000000" w14:paraId="00000007">
            <w:pPr>
              <w:spacing w:after="0" w:before="0" w:line="240" w:lineRule="auto"/>
              <w:jc w:val="center"/>
              <w:rPr/>
            </w:pPr>
            <w:r w:rsidDel="00000000" w:rsidR="00000000" w:rsidRPr="00000000">
              <w:rPr>
                <w:rFonts w:ascii="Times New Roman" w:cs="Times New Roman" w:eastAsia="Times New Roman" w:hAnsi="Times New Roman"/>
                <w:b w:val="1"/>
                <w:bCs w:val="1"/>
                <w:i w:val="0"/>
                <w:iCs w:val="0"/>
                <w:color w:val="000000"/>
                <w:rtl w:val="0"/>
              </w:rPr>
              <w:t xml:space="preserve">Measure</w:t>
            </w:r>
            <w:r w:rsidDel="00000000" w:rsidR="00000000" w:rsidRPr="00000000">
              <w:rPr>
                <w:rtl w:val="0"/>
              </w:rPr>
            </w:r>
          </w:p>
        </w:tc>
        <w:tc>
          <w:tcPr>
            <w:tcW w:type="dxa" w:w="5040"/>
            <w:shd w:fill="ffffff" w:val="clear"/>
            <w:tcMar>
              <w:top w:w="90.0" w:type="dxa"/>
              <w:bottom w:w="90.0" w:type="dxa"/>
            </w:tcMar>
            <w:vAlign w:val="center"/>
          </w:tcPr>
          <w:p w:rsidR="00000000" w:rsidDel="00000000" w:rsidP="00000000" w:rsidRDefault="00000000" w:rsidRPr="00000000" w14:paraId="00000008">
            <w:pPr>
              <w:spacing w:after="0" w:before="0" w:line="240" w:lineRule="auto"/>
              <w:jc w:val="center"/>
              <w:rPr/>
            </w:pPr>
            <w:r w:rsidDel="00000000" w:rsidR="00000000" w:rsidRPr="00000000">
              <w:rPr>
                <w:rFonts w:ascii="Times New Roman" w:cs="Times New Roman" w:eastAsia="Times New Roman" w:hAnsi="Times New Roman"/>
                <w:b w:val="1"/>
                <w:bCs w:val="1"/>
                <w:i w:val="0"/>
                <w:iCs w:val="0"/>
                <w:color w:val="000000"/>
                <w:rtl w:val="0"/>
              </w:rPr>
              <w:t xml:space="preserve">Implemented result</w:t>
            </w:r>
            <w:r w:rsidDel="00000000" w:rsidR="00000000" w:rsidRPr="00000000">
              <w:rPr>
                <w:rtl w:val="0"/>
              </w:rPr>
            </w:r>
          </w:p>
        </w:tc>
      </w:tr>
      <w:tr>
        <w:trPr>
          <w:cantSplit w:val="1"/>
          <w:tblHeader w:val="0"/>
        </w:trPr>
        <w:tc>
          <w:tcPr>
            <w:tcW w:type="dxa" w:w="4320"/>
            <w:shd w:fill="ffffff" w:val="clear"/>
            <w:tcMar>
              <w:top w:w="90.0" w:type="dxa"/>
              <w:bottom w:w="90.0" w:type="dxa"/>
            </w:tcMar>
            <w:vAlign w:val="center"/>
          </w:tcPr>
          <w:p w:rsidR="00000000" w:rsidDel="00000000" w:rsidP="00000000" w:rsidRDefault="00000000" w:rsidRPr="00000000" w14:paraId="00000009">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Learning-material cards</w:t>
            </w:r>
            <w:r w:rsidDel="00000000" w:rsidR="00000000" w:rsidRPr="00000000">
              <w:rPr>
                <w:rtl w:val="0"/>
              </w:rPr>
            </w:r>
          </w:p>
        </w:tc>
        <w:tc>
          <w:tcPr>
            <w:tcW w:type="dxa" w:w="5040"/>
            <w:shd w:fill="ffffff" w:val="clear"/>
            <w:tcMar>
              <w:top w:w="90.0" w:type="dxa"/>
              <w:bottom w:w="90.0" w:type="dxa"/>
            </w:tcMar>
            <w:vAlign w:val="center"/>
          </w:tcPr>
          <w:p w:rsidR="00000000" w:rsidDel="00000000" w:rsidP="00000000" w:rsidRDefault="00000000" w:rsidRPr="00000000" w14:paraId="0000000A">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50</w:t>
            </w:r>
            <w:r w:rsidDel="00000000" w:rsidR="00000000" w:rsidRPr="00000000">
              <w:rPr>
                <w:rtl w:val="0"/>
              </w:rPr>
            </w:r>
          </w:p>
        </w:tc>
      </w:tr>
      <w:tr>
        <w:trPr>
          <w:cantSplit w:val="1"/>
          <w:tblHeader w:val="0"/>
        </w:trPr>
        <w:tc>
          <w:tcPr>
            <w:tcW w:type="dxa" w:w="4320"/>
            <w:shd w:fill="ffffff" w:val="clear"/>
            <w:tcMar>
              <w:top w:w="90.0" w:type="dxa"/>
              <w:bottom w:w="90.0" w:type="dxa"/>
            </w:tcMar>
            <w:vAlign w:val="center"/>
          </w:tcPr>
          <w:p w:rsidR="00000000" w:rsidDel="00000000" w:rsidP="00000000" w:rsidRDefault="00000000" w:rsidRPr="00000000" w14:paraId="0000000B">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Display categories</w:t>
            </w:r>
            <w:r w:rsidDel="00000000" w:rsidR="00000000" w:rsidRPr="00000000">
              <w:rPr>
                <w:rtl w:val="0"/>
              </w:rPr>
            </w:r>
          </w:p>
        </w:tc>
        <w:tc>
          <w:tcPr>
            <w:tcW w:type="dxa" w:w="5040"/>
            <w:shd w:fill="ffffff" w:val="clear"/>
            <w:tcMar>
              <w:top w:w="90.0" w:type="dxa"/>
              <w:bottom w:w="90.0" w:type="dxa"/>
            </w:tcMar>
            <w:vAlign w:val="center"/>
          </w:tcPr>
          <w:p w:rsidR="00000000" w:rsidDel="00000000" w:rsidP="00000000" w:rsidRDefault="00000000" w:rsidRPr="00000000" w14:paraId="0000000C">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7</w:t>
            </w:r>
            <w:r w:rsidDel="00000000" w:rsidR="00000000" w:rsidRPr="00000000">
              <w:rPr>
                <w:rtl w:val="0"/>
              </w:rPr>
            </w:r>
          </w:p>
        </w:tc>
      </w:tr>
      <w:tr>
        <w:trPr>
          <w:cantSplit w:val="1"/>
          <w:tblHeader w:val="0"/>
        </w:trPr>
        <w:tc>
          <w:tcPr>
            <w:tcW w:type="dxa" w:w="4320"/>
            <w:shd w:fill="ffffff" w:val="clear"/>
            <w:tcMar>
              <w:top w:w="90.0" w:type="dxa"/>
              <w:bottom w:w="90.0" w:type="dxa"/>
            </w:tcMar>
            <w:vAlign w:val="center"/>
          </w:tcPr>
          <w:p>
            <w:r>
              <w:t>Card types</w:t>
            </w:r>
          </w:p>
        </w:tc>
        <w:tc>
          <w:tcPr>
            <w:tcW w:type="dxa" w:w="5040"/>
            <w:shd w:fill="ffffff" w:val="clear"/>
            <w:tcMar>
              <w:top w:w="90.0" w:type="dxa"/>
              <w:bottom w:w="90.0" w:type="dxa"/>
            </w:tcMar>
            <w:vAlign w:val="center"/>
          </w:tcPr>
          <w:p>
            <w:r>
              <w:t>10 types, including person, action, thing, and feeling</w:t>
            </w:r>
          </w:p>
        </w:tc>
      </w:tr>
      <w:tr>
        <w:trPr>
          <w:cantSplit w:val="1"/>
          <w:tblHeader w:val="0"/>
        </w:trPr>
        <w:tc>
          <w:tcPr>
            <w:tcW w:type="dxa" w:w="4320"/>
            <w:shd w:fill="ffffff" w:val="clear"/>
            <w:tcMar>
              <w:top w:w="90.0" w:type="dxa"/>
              <w:bottom w:w="90.0" w:type="dxa"/>
            </w:tcMar>
            <w:vAlign w:val="center"/>
          </w:tcPr>
          <w:p w:rsidR="00000000" w:rsidDel="00000000" w:rsidP="00000000" w:rsidRDefault="00000000" w:rsidRPr="00000000" w14:paraId="0000000F">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Maximum arrangement length</w:t>
            </w:r>
            <w:r w:rsidDel="00000000" w:rsidR="00000000" w:rsidRPr="00000000">
              <w:rPr>
                <w:rtl w:val="0"/>
              </w:rPr>
            </w:r>
          </w:p>
        </w:tc>
        <w:tc>
          <w:tcPr>
            <w:tcW w:type="dxa" w:w="5040"/>
            <w:shd w:fill="ffffff" w:val="clear"/>
            <w:tcMar>
              <w:top w:w="90.0" w:type="dxa"/>
              <w:bottom w:w="90.0" w:type="dxa"/>
            </w:tcMar>
            <w:vAlign w:val="center"/>
          </w:tcPr>
          <w:p w:rsidR="00000000" w:rsidDel="00000000" w:rsidP="00000000" w:rsidRDefault="00000000" w:rsidRPr="00000000" w14:paraId="00000010">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5 cards</w:t>
            </w:r>
            <w:r w:rsidDel="00000000" w:rsidR="00000000" w:rsidRPr="00000000">
              <w:rPr>
                <w:rtl w:val="0"/>
              </w:rPr>
            </w:r>
          </w:p>
        </w:tc>
      </w:tr>
      <w:tr>
        <w:trPr>
          <w:cantSplit w:val="1"/>
          <w:tblHeader w:val="0"/>
        </w:trPr>
        <w:tc>
          <w:tcPr>
            <w:tcW w:type="dxa" w:w="4320"/>
            <w:shd w:fill="ffffff" w:val="clear"/>
            <w:tcMar>
              <w:top w:w="90.0" w:type="dxa"/>
              <w:bottom w:w="90.0" w:type="dxa"/>
            </w:tcMar>
            <w:vAlign w:val="center"/>
          </w:tcPr>
          <w:p>
            <w:r>
              <w:t>Types of messages MSAV can check</w:t>
            </w:r>
          </w:p>
        </w:tc>
        <w:tc>
          <w:tcPr>
            <w:tcW w:type="dxa" w:w="5040"/>
            <w:shd w:fill="ffffff" w:val="clear"/>
            <w:tcMar>
              <w:top w:w="90.0" w:type="dxa"/>
              <w:bottom w:w="90.0" w:type="dxa"/>
            </w:tcMar>
            <w:vAlign w:val="center"/>
          </w:tcPr>
          <w:p>
            <w:r>
              <w:t>14 types, including one-card messages, requests, action sentences, descriptions, greetings, and commands</w:t>
            </w:r>
          </w:p>
        </w:tc>
      </w:tr>
      <w:tr>
        <w:trPr>
          <w:cantSplit w:val="1"/>
          <w:tblHeader w:val="0"/>
        </w:trPr>
        <w:tc>
          <w:tcPr>
            <w:tcW w:type="dxa" w:w="4320"/>
            <w:shd w:fill="ffffff" w:val="clear"/>
            <w:tcMar>
              <w:top w:w="90.0" w:type="dxa"/>
              <w:bottom w:w="90.0" w:type="dxa"/>
            </w:tcMar>
            <w:vAlign w:val="center"/>
          </w:tcPr>
          <w:p w:rsidR="00000000" w:rsidDel="00000000" w:rsidP="00000000" w:rsidRDefault="00000000" w:rsidRPr="00000000" w14:paraId="00000013">
            <w:pPr>
              <w:rPr/>
            </w:pPr>
            <w:r w:rsidDel="00000000" w:rsidR="00000000" w:rsidRPr="00000000">
              <w:rPr>
                <w:rtl w:val="0"/>
              </w:rPr>
              <w:t xml:space="preserve">How MSAV decides</w:t>
            </w:r>
          </w:p>
        </w:tc>
        <w:tc>
          <w:tcPr>
            <w:tcW w:type="dxa" w:w="5040"/>
            <w:shd w:fill="ffffff" w:val="clear"/>
            <w:tcMar>
              <w:top w:w="90.0" w:type="dxa"/>
              <w:bottom w:w="90.0" w:type="dxa"/>
            </w:tcMar>
            <w:vAlign w:val="center"/>
          </w:tcPr>
          <w:p>
            <w:r>
              <w:t>MSAV uses fixed rules. The same exact cards in the same order will always receive the same result.</w:t>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keepNext w:val="1"/>
        <w:pageBreakBefore w:val="1"/>
        <w:jc w:val="center"/>
        <w:rPr/>
      </w:pPr>
      <w:r w:rsidDel="00000000" w:rsidR="00000000" w:rsidRPr="00000000">
        <w:rPr>
          <w:rFonts w:ascii="Times New Roman" w:cs="Times New Roman" w:eastAsia="Times New Roman" w:hAnsi="Times New Roman"/>
          <w:b w:val="0"/>
          <w:bCs w:val="0"/>
          <w:i w:val="1"/>
          <w:iCs w:val="1"/>
          <w:color w:val="000000"/>
          <w:rtl w:val="0"/>
        </w:rPr>
        <w:t xml:space="preserve">Figure 9. Final MSAV Validation Flow</w:t>
      </w:r>
      <w:r w:rsidDel="00000000" w:rsidR="00000000" w:rsidRPr="00000000">
        <w:rPr>
          <w:rtl w:val="0"/>
        </w:rPr>
      </w:r>
    </w:p>
    <w:tbl>
      <w:tblPr>
        <w:tblW w:type="auto" w:w="0"/>
        <w:jc w:val="center"/>
        <w:tblLayout w:type="fixed"/>
        <w:tblLook w:firstColumn="1" w:firstRow="1" w:lastColumn="0" w:lastRow="0" w:noHBand="0" w:noVBand="1" w:val="04A0"/>
      </w:tblPr>
      <w:tblGrid>
        <w:gridCol w:w="4824"/>
        <w:gridCol w:w="4824"/>
      </w:tblGrid>
      <w:tr>
        <w:tc>
          <w:tcPr>
            <w:tcW w:type="dxa" w:w="9072"/>
            <w:tcMar>
              <w:top w:w="90" w:type="dxa"/>
              <w:start w:w="110" w:type="dxa"/>
              <w:bottom w:w="90" w:type="dxa"/>
              <w:end w:w="110" w:type="dxa"/>
            </w:tcMar>
            <w:gridSpan w:val="2"/>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vAlign w:val="center"/>
          </w:tcPr>
          <w:p>
            <w:pPr>
              <w:spacing w:before="0" w:after="0" w:line="240" w:lineRule="auto"/>
              <w:jc w:val="center"/>
            </w:pPr>
            <w:r/>
            <w:r>
              <w:rPr>
                <w:rFonts w:ascii="Times New Roman" w:hAnsi="Times New Roman"/>
                <w:b/>
                <w:sz w:val="22"/>
              </w:rPr>
              <w:t>Cards arranged in the Playground</w:t>
            </w:r>
            <w:r>
              <w:br/>
            </w:r>
            <w:r>
              <w:rPr>
                <w:rFonts w:ascii="Times New Roman" w:hAnsi="Times New Roman"/>
                <w:b/>
                <w:sz w:val="22"/>
              </w:rPr>
              <w:t>(up to five)</w:t>
            </w:r>
          </w:p>
        </w:tc>
      </w:tr>
      <w:tr>
        <w:tc>
          <w:tcPr>
            <w:tcW w:type="dxa" w:w="9072"/>
            <w:tcMar>
              <w:top w:w="90" w:type="dxa"/>
              <w:start w:w="110" w:type="dxa"/>
              <w:bottom w:w="90" w:type="dxa"/>
              <w:end w:w="110" w:type="dxa"/>
            </w:tcMar>
            <w:gridSpan w:val="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b w:val="0"/>
                <w:sz w:val="28"/>
              </w:rPr>
              <w:t>↓</w:t>
            </w:r>
          </w:p>
        </w:tc>
      </w:tr>
      <w:tr>
        <w:tc>
          <w:tcPr>
            <w:tcW w:type="dxa" w:w="9072"/>
            <w:tcMar>
              <w:top w:w="90" w:type="dxa"/>
              <w:start w:w="110" w:type="dxa"/>
              <w:bottom w:w="90" w:type="dxa"/>
              <w:end w:w="110" w:type="dxa"/>
            </w:tcMar>
            <w:gridSpan w:val="2"/>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vAlign w:val="center"/>
          </w:tcPr>
          <w:p>
            <w:pPr>
              <w:spacing w:before="0" w:after="0" w:line="240" w:lineRule="auto"/>
              <w:jc w:val="center"/>
            </w:pPr>
            <w:r/>
            <w:r>
              <w:rPr>
                <w:rFonts w:ascii="Times New Roman" w:hAnsi="Times New Roman"/>
                <w:b w:val="0"/>
                <w:sz w:val="22"/>
              </w:rPr>
              <w:t>Check that the cards are approved and used correctly</w:t>
            </w:r>
          </w:p>
        </w:tc>
      </w:tr>
      <w:tr>
        <w:tc>
          <w:tcPr>
            <w:tcW w:type="dxa" w:w="9072"/>
            <w:tcMar>
              <w:top w:w="90" w:type="dxa"/>
              <w:start w:w="110" w:type="dxa"/>
              <w:bottom w:w="90" w:type="dxa"/>
              <w:end w:w="110" w:type="dxa"/>
            </w:tcMar>
            <w:gridSpan w:val="2"/>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b w:val="0"/>
                <w:sz w:val="28"/>
              </w:rPr>
              <w:t>↓</w:t>
            </w:r>
          </w:p>
        </w:tc>
      </w:tr>
      <w:tr>
        <w:tc>
          <w:tcPr>
            <w:tcW w:type="dxa" w:w="9072"/>
            <w:tcMar>
              <w:top w:w="90" w:type="dxa"/>
              <w:start w:w="110" w:type="dxa"/>
              <w:bottom w:w="90" w:type="dxa"/>
              <w:end w:w="110" w:type="dxa"/>
            </w:tcMar>
            <w:gridSpan w:val="2"/>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vAlign w:val="center"/>
          </w:tcPr>
          <w:p>
            <w:pPr>
              <w:spacing w:before="0" w:after="0" w:line="240" w:lineRule="auto"/>
              <w:jc w:val="center"/>
            </w:pPr>
            <w:r/>
            <w:r>
              <w:rPr>
                <w:rFonts w:ascii="Times New Roman" w:hAnsi="Times New Roman"/>
                <w:b w:val="0"/>
                <w:sz w:val="22"/>
              </w:rPr>
              <w:t>Check the card order, required parts, grammar, and meaning</w:t>
            </w:r>
          </w:p>
        </w:tc>
      </w:tr>
      <w:tr>
        <w:tc>
          <w:tcPr>
            <w:tcW w:type="dxa" w:w="4536"/>
            <w:tcMar>
              <w:top w:w="90" w:type="dxa"/>
              <w:start w:w="110" w:type="dxa"/>
              <w:bottom w:w="90" w:type="dxa"/>
              <w:end w:w="110" w:type="dxa"/>
            </w:tcMar>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b w:val="0"/>
                <w:sz w:val="30"/>
              </w:rPr>
              <w:t>↙</w:t>
            </w:r>
          </w:p>
        </w:tc>
        <w:tc>
          <w:tcPr>
            <w:tcW w:type="dxa" w:w="4536"/>
            <w:tcMar>
              <w:top w:w="90" w:type="dxa"/>
              <w:start w:w="110" w:type="dxa"/>
              <w:bottom w:w="90" w:type="dxa"/>
              <w:end w:w="110" w:type="dxa"/>
            </w:tcMar>
            <w:tcBorders>
              <w:top w:val="nil"/>
              <w:left w:val="nil"/>
              <w:bottom w:val="nil"/>
              <w:right w:val="nil"/>
              <w:insideH w:val="nil"/>
              <w:insideV w:val="nil"/>
            </w:tcBorders>
            <w:vAlign w:val="center"/>
          </w:tcPr>
          <w:p>
            <w:pPr>
              <w:spacing w:before="0" w:after="0" w:line="240" w:lineRule="auto"/>
              <w:jc w:val="center"/>
            </w:pPr>
            <w:r/>
            <w:r>
              <w:rPr>
                <w:rFonts w:ascii="Times New Roman" w:hAnsi="Times New Roman"/>
                <w:b w:val="0"/>
                <w:sz w:val="30"/>
              </w:rPr>
              <w:t>↘</w:t>
            </w:r>
          </w:p>
        </w:tc>
      </w:tr>
      <w:tr>
        <w:tc>
          <w:tcPr>
            <w:tcW w:type="dxa" w:w="4536"/>
            <w:tcMar>
              <w:top w:w="90" w:type="dxa"/>
              <w:start w:w="110" w:type="dxa"/>
              <w:bottom w:w="90" w:type="dxa"/>
              <w:end w:w="110" w:type="dxa"/>
            </w:tcMa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vAlign w:val="center"/>
          </w:tcPr>
          <w:p>
            <w:pPr>
              <w:spacing w:before="0" w:after="0" w:line="240" w:lineRule="auto"/>
              <w:jc w:val="center"/>
            </w:pPr>
            <w:r/>
            <w:r>
              <w:rPr>
                <w:rFonts w:ascii="Times New Roman" w:hAnsi="Times New Roman"/>
                <w:b/>
                <w:sz w:val="21"/>
              </w:rPr>
              <w:t>Valid arrangement</w:t>
            </w:r>
            <w:r>
              <w:br/>
            </w:r>
            <w:r>
              <w:rPr>
                <w:rFonts w:ascii="Times New Roman" w:hAnsi="Times New Roman"/>
                <w:b/>
                <w:sz w:val="21"/>
              </w:rPr>
              <w:t>Good Job and playback</w:t>
            </w:r>
          </w:p>
        </w:tc>
        <w:tc>
          <w:tcPr>
            <w:tcW w:type="dxa" w:w="4536"/>
            <w:tcMar>
              <w:top w:w="90" w:type="dxa"/>
              <w:start w:w="110" w:type="dxa"/>
              <w:bottom w:w="90" w:type="dxa"/>
              <w:end w:w="110" w:type="dxa"/>
            </w:tcMar>
            <w:tc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cBorders>
            <w:vAlign w:val="center"/>
          </w:tcPr>
          <w:p>
            <w:pPr>
              <w:spacing w:before="0" w:after="0" w:line="240" w:lineRule="auto"/>
              <w:jc w:val="center"/>
            </w:pPr>
            <w:r/>
            <w:r>
              <w:rPr>
                <w:rFonts w:ascii="Times New Roman" w:hAnsi="Times New Roman"/>
                <w:b/>
                <w:sz w:val="21"/>
              </w:rPr>
              <w:t>Invalid arrangement</w:t>
            </w:r>
            <w:r>
              <w:br/>
            </w:r>
            <w:r>
              <w:rPr>
                <w:rFonts w:ascii="Times New Roman" w:hAnsi="Times New Roman"/>
                <w:b/>
                <w:sz w:val="21"/>
              </w:rPr>
              <w:t>Try Again and helpful feedback</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1"/>
        <w:rPr/>
      </w:pPr>
      <w:r w:rsidDel="00000000" w:rsidR="00000000" w:rsidRPr="00000000">
        <w:rPr>
          <w:rFonts w:ascii="Times New Roman" w:cs="Times New Roman" w:eastAsia="Times New Roman" w:hAnsi="Times New Roman"/>
          <w:b w:val="1"/>
          <w:bCs w:val="1"/>
          <w:i w:val="0"/>
          <w:iCs w:val="0"/>
          <w:color w:val="000000"/>
          <w:rtl w:val="0"/>
        </w:rPr>
        <w:t xml:space="preserve">Implemented Rules</w:t>
      </w:r>
      <w:r w:rsidDel="00000000" w:rsidR="00000000" w:rsidRPr="00000000">
        <w:rPr>
          <w:rtl w:val="0"/>
        </w:rPr>
      </w:r>
    </w:p>
    <w:p w:rsidR="00000000" w:rsidDel="00000000" w:rsidP="00000000" w:rsidRDefault="00000000" w:rsidRPr="00000000" w14:paraId="00000020">
      <w:pPr>
        <w:widowControl w:val="1"/>
        <w:spacing w:after="0" w:line="312" w:lineRule="auto"/>
        <w:ind w:firstLine="720"/>
        <w:jc w:val="both"/>
        <w:rPr/>
      </w:pPr>
      <w:r w:rsidDel="00000000" w:rsidR="00000000" w:rsidRPr="00000000">
        <w:rPr>
          <w:rFonts w:ascii="Times New Roman" w:cs="Times New Roman" w:eastAsia="Times New Roman" w:hAnsi="Times New Roman"/>
          <w:b w:val="0"/>
          <w:bCs w:val="0"/>
          <w:i w:val="0"/>
          <w:iCs w:val="0"/>
          <w:color w:val="000000"/>
          <w:rtl w:val="0"/>
        </w:rPr>
        <w:t xml:space="preserve">The final rule set focused on functional communication rather than unrestricted English grammar. It accepted individual communication cards and supported requests, actions, descriptions, commands, greetings, polite expressions, and combined greeting-sentence arrangements.</w:t>
      </w:r>
      <w:r w:rsidDel="00000000" w:rsidR="00000000" w:rsidRPr="00000000">
        <w:rPr>
          <w:rtl w:val="0"/>
        </w:rPr>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Table 7. Representative Implemented MSAV Rules</w:t>
      </w:r>
      <w:r w:rsidDel="00000000" w:rsidR="00000000" w:rsidRPr="00000000">
        <w:rPr>
          <w:rtl w:val="0"/>
        </w:rPr>
      </w:r>
    </w:p>
    <w:tbl>
      <w:tblPr>
        <w:tblStyle w:val="Table3"/>
        <w:tblW w:w="96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6"/>
        <w:gridCol w:w="3216"/>
        <w:gridCol w:w="3216"/>
        <w:tblGridChange w:id="0">
          <w:tblGrid>
            <w:gridCol w:w="3216"/>
            <w:gridCol w:w="3216"/>
            <w:gridCol w:w="3216"/>
          </w:tblGrid>
        </w:tblGridChange>
      </w:tblGrid>
      <w:tr>
        <w:trPr>
          <w:cantSplit w:val="1"/>
          <w:tblHeader w:val="1"/>
        </w:trPr>
        <w:tc>
          <w:tcPr>
            <w:shd w:fill="ffffff" w:val="clear"/>
            <w:tcMar>
              <w:top w:w="90.0" w:type="dxa"/>
              <w:bottom w:w="90.0" w:type="dxa"/>
            </w:tcMar>
            <w:vAlign w:val="center"/>
          </w:tcPr>
          <w:p w:rsidR="00000000" w:rsidDel="00000000" w:rsidP="00000000" w:rsidRDefault="00000000" w:rsidRPr="00000000" w14:paraId="00000022">
            <w:pPr>
              <w:spacing w:after="0" w:before="0" w:line="240" w:lineRule="auto"/>
              <w:jc w:val="center"/>
              <w:rPr/>
            </w:pPr>
            <w:r w:rsidDel="00000000" w:rsidR="00000000" w:rsidRPr="00000000">
              <w:rPr>
                <w:rFonts w:ascii="Times New Roman" w:cs="Times New Roman" w:eastAsia="Times New Roman" w:hAnsi="Times New Roman"/>
                <w:b w:val="1"/>
                <w:bCs w:val="1"/>
                <w:i w:val="0"/>
                <w:iCs w:val="0"/>
                <w:color w:val="000000"/>
                <w:rtl w:val="0"/>
              </w:rPr>
              <w:t xml:space="preserve">Rule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3">
            <w:pPr>
              <w:spacing w:after="0" w:before="0" w:line="240" w:lineRule="auto"/>
              <w:jc w:val="center"/>
              <w:rPr/>
            </w:pPr>
            <w:r w:rsidDel="00000000" w:rsidR="00000000" w:rsidRPr="00000000">
              <w:rPr>
                <w:rFonts w:ascii="Times New Roman" w:cs="Times New Roman" w:eastAsia="Times New Roman" w:hAnsi="Times New Roman"/>
                <w:b w:val="1"/>
                <w:bCs w:val="1"/>
                <w:i w:val="0"/>
                <w:iCs w:val="0"/>
                <w:color w:val="000000"/>
                <w:rtl w:val="0"/>
              </w:rPr>
              <w:t xml:space="preserve">Accepted example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4">
            <w:pPr>
              <w:spacing w:after="0" w:before="0" w:line="240" w:lineRule="auto"/>
              <w:jc w:val="center"/>
              <w:rPr/>
            </w:pPr>
            <w:r w:rsidDel="00000000" w:rsidR="00000000" w:rsidRPr="00000000">
              <w:rPr>
                <w:rFonts w:ascii="Times New Roman" w:cs="Times New Roman" w:eastAsia="Times New Roman" w:hAnsi="Times New Roman"/>
                <w:b w:val="1"/>
                <w:bCs w:val="1"/>
                <w:i w:val="0"/>
                <w:iCs w:val="0"/>
                <w:color w:val="000000"/>
                <w:rtl w:val="0"/>
              </w:rPr>
              <w:t xml:space="preserve">Main condition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25">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Single Card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6">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Water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7">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Recognized card except Am, Is, or Are alone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28">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Basic Request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9">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I + Want + Water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A">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I or You + Want + approved target</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2B">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Action Sentence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C">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I + Eat + Food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D">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Compatible subject, action, and target</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2E">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Describing Sentence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F">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I + Am + Happy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0">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Subject + correct be verb + emotion or state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31">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Polite Command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2">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Please + Drink + Water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3">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Please with a compatible action and target</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34">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Addressed Expression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5">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Hello + Mother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6">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Approved expression followed by a named person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37">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Combined Sentence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8">
            <w:pPr>
              <w:spacing w:after="0" w:before="0" w:line="240" w:lineRule="auto"/>
              <w:jc w:val="center"/>
              <w:rPr/>
            </w:pPr>
            <w:r w:rsidDel="00000000" w:rsidR="00000000" w:rsidRPr="00000000">
              <w:rPr>
                <w:rFonts w:ascii="Times New Roman" w:cs="Times New Roman" w:eastAsia="Times New Roman" w:hAnsi="Times New Roman"/>
                <w:b w:val="0"/>
                <w:bCs w:val="0"/>
                <w:i w:val="0"/>
                <w:iCs w:val="0"/>
                <w:color w:val="000000"/>
                <w:rtl w:val="0"/>
              </w:rPr>
              <w:t xml:space="preserve">Hello + Mother + I + Am + Happy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9">
            <w:pP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0000"/>
                <w:rtl w:val="0"/>
              </w:rPr>
              <w:t xml:space="preserve">Greeting or addressee followed by a valid sentence</w:t>
            </w:r>
            <w:r w:rsidDel="00000000" w:rsidR="00000000" w:rsidRPr="00000000">
              <w:rPr>
                <w:rtl w:val="0"/>
              </w:rPr>
            </w:r>
          </w:p>
        </w:tc>
      </w:tr>
    </w:tbl>
    <w:p w:rsidR="00000000" w:rsidDel="00000000" w:rsidP="00000000" w:rsidRDefault="00000000" w:rsidRPr="00000000" w14:paraId="0000003A">
      <w:pPr>
        <w:pStyle w:val="Heading1"/>
        <w:keepNext w:val="1"/>
        <w:rPr/>
      </w:pPr>
      <w:r w:rsidDel="00000000" w:rsidR="00000000" w:rsidRPr="00000000">
        <w:rPr>
          <w:rFonts w:ascii="Times New Roman" w:cs="Times New Roman" w:eastAsia="Times New Roman" w:hAnsi="Times New Roman"/>
          <w:b w:val="1"/>
          <w:bCs w:val="1"/>
          <w:i w:val="0"/>
          <w:iCs w:val="0"/>
          <w:color w:val="000000"/>
          <w:rtl w:val="0"/>
        </w:rPr>
        <w:t xml:space="preserve">System Integration</w:t>
      </w:r>
      <w:r w:rsidDel="00000000" w:rsidR="00000000" w:rsidRPr="00000000">
        <w:rPr>
          <w:rtl w:val="0"/>
        </w:rPr>
      </w:r>
    </w:p>
    <w:p w:rsidR="00000000" w:rsidDel="00000000" w:rsidP="00000000" w:rsidRDefault="00000000" w:rsidRPr="00000000" w14:paraId="0000003B">
      <w:pPr>
        <w:widowControl w:val="1"/>
        <w:spacing w:after="0" w:line="312" w:lineRule="auto"/>
        <w:ind w:firstLine="720"/>
        <w:jc w:val="both"/>
        <w:rPr/>
      </w:pPr>
      <w:r w:rsidDel="00000000" w:rsidR="00000000" w:rsidRPr="00000000">
        <w:rPr>
          <w:rFonts w:ascii="Times New Roman" w:cs="Times New Roman" w:eastAsia="Times New Roman" w:hAnsi="Times New Roman"/>
          <w:b w:val="0"/>
          <w:bCs w:val="0"/>
          <w:i w:val="0"/>
          <w:iCs w:val="0"/>
          <w:color w:val="000000"/>
          <w:rtl w:val="0"/>
        </w:rPr>
        <w:t xml:space="preserve">MSAV was integrated into the learner-facing Playground. When Check is selected, the ordered board cards and active library identifiers are sent to the validator. A valid arrangement produces the Good Job response and sentence playback. An invalid arrangement produces Try Again and, when available, a specific prompt such as using a food card after Eat or adding a missing request target. The teacher remains responsible for explaining the communication context and guiding the learner.</w:t>
      </w:r>
      <w:r w:rsidDel="00000000" w:rsidR="00000000" w:rsidRPr="00000000">
        <w:rPr>
          <w:rtl w:val="0"/>
        </w:rPr>
      </w:r>
    </w:p>
    <w:p w:rsidR="00000000" w:rsidDel="00000000" w:rsidP="00000000" w:rsidRDefault="00000000" w:rsidRPr="00000000" w14:paraId="0000003C">
      <w:pPr>
        <w:pStyle w:val="Heading1"/>
        <w:keepNext w:val="1"/>
        <w:rPr/>
      </w:pPr>
      <w:r w:rsidDel="00000000" w:rsidR="00000000" w:rsidRPr="00000000">
        <w:rPr>
          <w:rFonts w:ascii="Times New Roman" w:cs="Times New Roman" w:eastAsia="Times New Roman" w:hAnsi="Times New Roman"/>
          <w:b w:val="1"/>
          <w:bCs w:val="1"/>
          <w:i w:val="0"/>
          <w:iCs w:val="0"/>
          <w:color w:val="000000"/>
          <w:rtl w:val="0"/>
        </w:rPr>
        <w:t xml:space="preserve">New Learning Materials</w:t>
      </w:r>
      <w:r w:rsidDel="00000000" w:rsidR="00000000" w:rsidRPr="00000000">
        <w:rPr>
          <w:rtl w:val="0"/>
        </w:rPr>
      </w:r>
    </w:p>
    <w:p w:rsidR="00000000" w:rsidDel="00000000" w:rsidP="00000000" w:rsidRDefault="00000000" w:rsidRPr="00000000" w14:paraId="0000003D">
      <w:pPr>
        <w:widowControl w:val="1"/>
        <w:spacing w:after="0" w:line="312" w:lineRule="auto"/>
        <w:ind w:firstLine="720"/>
        <w:jc w:val="both"/>
        <w:rPr/>
      </w:pPr>
      <w:r w:rsidDel="00000000" w:rsidR="00000000" w:rsidRPr="00000000">
        <w:rPr>
          <w:rtl w:val="0"/>
        </w:rPr>
        <w:t>Newly uploaded PECS materials with valid images can appear in the Playground, but MSAV does not automatically learn their grammatical or semantic meaning. The current upload form does not record how the card should be used in a message. An uploaded material that does not match the built-in manifest is therefore treated as an object, or thing, by default.</w:t>
      </w:r>
    </w:p>
    <w:p w:rsidR="00000000" w:rsidDel="00000000" w:rsidP="00000000" w:rsidRDefault="00000000" w:rsidRPr="00000000" w14:paraId="0000003E">
      <w:pPr>
        <w:widowControl w:val="1"/>
        <w:spacing w:after="0" w:line="312" w:lineRule="auto"/>
        <w:ind w:firstLine="720"/>
        <w:jc w:val="both"/>
        <w:rPr/>
      </w:pPr>
      <w:r w:rsidDel="00000000" w:rsidR="00000000" w:rsidRPr="00000000">
        <w:rPr>
          <w:rFonts w:ascii="Times New Roman" w:cs="Times New Roman" w:eastAsia="Times New Roman" w:hAnsi="Times New Roman"/>
          <w:b w:val="0"/>
          <w:bCs w:val="0"/>
          <w:i w:val="0"/>
          <w:iCs w:val="0"/>
          <w:color w:val="000000"/>
          <w:rtl w:val="0"/>
        </w:rPr>
        <w:t>This provides partial adaptability. A new Apple card may work in I + Want + Apple because the request rule accepts an object, but I + Eat + Apple remains invalid because the Eat rule contains a fixed set of food targets. A new emotion or person also cannot enter the correct rules without information about how it should be used and what it means. The system is therefore extensible at the content level but only partially extensible at the validation level.</w:t>
      </w: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line="240" w:lineRule="auto"/>
    </w:pPr>
    <w:rPr>
      <w:rFonts w:ascii="Times New Roman" w:cs="Times New Roman" w:eastAsia="Times New Roman" w:hAnsi="Times New Roman"/>
      <w:b w:val="1"/>
      <w:bCs w:val="1"/>
      <w:color w:val="000000"/>
      <w:sz w:val="28"/>
      <w:szCs w:val="2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