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r>
        <w:t>VillageReach</w:t>
      </w:r>
    </w:p>
    <w:p>
      <w:pPr/>
      <w:r>
        <w:t>CHOICE Project – USSD Health Messaging Consultant</w:t>
      </w:r>
    </w:p>
    <w:p>
      <w:pPr>
        <w:jc w:val="center"/>
      </w:pPr>
      <w:r>
        <w:rPr>
          <w:color w:val="E84D4D"/>
          <w:sz w:val="20"/>
        </w:rPr>
        <w:t>━━━━━━━━━━━━━━━━━━━━━━━━━━━━━━━━━━━━━━━━</w:t>
      </w:r>
    </w:p>
    <w:p>
      <w:pPr/>
      <w:r>
        <w:t>Financial Proposal &amp; Technical Approach</w:t>
      </w:r>
    </w:p>
    <w:p>
      <w:pPr/>
      <w:r>
        <w:t>Prepared by:</w:t>
      </w:r>
    </w:p>
    <w:p>
      <w:pPr/>
      <w:r>
        <w:t>Light Speed Holdings</w:t>
      </w:r>
    </w:p>
    <w:p>
      <w:pPr/>
      <w:r>
        <w:t>Malawi  ·  Nairobi  ·  Washington DC</w:t>
      </w:r>
    </w:p>
    <w:p>
      <w:pPr/>
      <w:r>
        <w:t>Primary Contact:  Jmlus (Consulting Lead)</w:t>
      </w:r>
    </w:p>
    <w:p>
      <w:pPr/>
      <w:r>
        <w:t>Email:  info@lightspeedholdings.com  |  Web:  lightspeedholdings.com</w:t>
      </w:r>
    </w:p>
    <w:p>
      <w:pPr/>
      <w:r>
        <w:t>Date:  September 2026  |  Last updated: 2026-09-18  |  Version:  1.0</w:t>
      </w:r>
    </w:p>
    <w:p>
      <w:pPr/>
      <w:r>
        <w:t>Confidential – For VillageReach Evaluation Use Only</w:t>
      </w:r>
    </w:p>
    <w:p>
      <w:r>
        <w:br w:type="page"/>
      </w:r>
    </w:p>
    <w:p>
      <w:pPr/>
      <w:r>
        <w:t>Table of Contents</w:t>
      </w:r>
    </w:p>
    <w:p>
      <w:pPr/>
      <w:r>
        <w:t>1. Executive Summary</w:t>
      </w:r>
    </w:p>
    <w:p>
      <w:pPr/>
      <w:r>
        <w:t>2. Understanding of Requirements</w:t>
      </w:r>
    </w:p>
    <w:p>
      <w:pPr/>
      <w:r>
        <w:t>3. Proposed Technical Approach</w:t>
      </w:r>
    </w:p>
    <w:p>
      <w:pPr/>
      <w:r>
        <w:t>4. USSD Menu Wireframe &amp; Prototype Plan</w:t>
      </w:r>
    </w:p>
    <w:p>
      <w:pPr/>
      <w:r>
        <w:t>5. Team Composition &amp; Qualifications</w:t>
      </w:r>
    </w:p>
    <w:p>
      <w:pPr/>
      <w:r>
        <w:t>6. Project Timeline &amp; Milestones</w:t>
      </w:r>
    </w:p>
    <w:p>
      <w:pPr/>
      <w:r>
        <w:t>7. Budget &amp; Financial Proposal</w:t>
      </w:r>
    </w:p>
    <w:p>
      <w:pPr/>
      <w:r>
        <w:t>8. Data Privacy &amp; Security Plan</w:t>
      </w:r>
    </w:p>
    <w:p>
      <w:pPr/>
      <w:r>
        <w:t>9. Risk Register &amp; Mitigation</w:t>
      </w:r>
    </w:p>
    <w:p>
      <w:pPr/>
      <w:r>
        <w:t>10. Terms &amp; Conditions</w:t>
      </w:r>
    </w:p>
    <w:p>
      <w:r>
        <w:br w:type="page"/>
      </w:r>
    </w:p>
    <w:p>
      <w:pPr>
        <w:ind w:left="360"/>
      </w:pPr>
      <w:r>
        <w:t>1. Executive Summary</w:t>
      </w:r>
    </w:p>
    <w:p>
      <w:pPr>
        <w:ind w:left="360"/>
      </w:pPr>
      <w:r>
        <w:t>Light Speed Holdings is pleased to submit this proposal to VillageReach for the USSD Health Messaging Consultant engagement under the CHOICE Project (2025-2028), funded by Global Affairs Canada and managed by Oxfam Canada. Our team proposes a complete USSD service lifecycle—menu design, development, deployment, and 24-month maintenance—on short code 54747, delivering health information to women in Balaka and Lilongwe districts in Chichewa.</w:t>
      </w:r>
    </w:p>
    <w:p>
      <w:pPr>
        <w:ind w:left="360"/>
      </w:pPr>
      <w:r>
        <w:t>Why Light Speed Holdings</w:t>
      </w:r>
    </w:p>
    <w:p>
      <w:pPr>
        <w:pStyle w:val="ListBullet"/>
        <w:spacing w:after="40" w:before="0"/>
      </w:pPr>
      <w:r>
        <w:rPr>
          <w:color w:val="101820"/>
          <w:sz w:val="20"/>
        </w:rPr>
        <w:t>Proven USSD &amp; mobile health experience: Prior deployments across Malawi's Airtel and TNM networks with demonstrated low-literacy interface design.</w:t>
      </w:r>
    </w:p>
    <w:p>
      <w:pPr>
        <w:pStyle w:val="ListBullet"/>
        <w:spacing w:after="40" w:before="0"/>
      </w:pPr>
      <w:r>
        <w:rPr>
          <w:color w:val="101820"/>
          <w:sz w:val="20"/>
        </w:rPr>
        <w:t>Full-stack technical capacity: In-house mobile developers, integration engineers, and UX researchers who specialize in constraint-based interfaces (182-character screens, no scrolling).</w:t>
      </w:r>
    </w:p>
    <w:p>
      <w:pPr>
        <w:pStyle w:val="ListBullet"/>
        <w:spacing w:after="40" w:before="0"/>
      </w:pPr>
      <w:r>
        <w:rPr>
          <w:color w:val="101820"/>
          <w:sz w:val="20"/>
        </w:rPr>
        <w:t>Local presence with international standards: Malawi-based delivery team with ISO 27001-aligned security practices and real-time collaboration across time zones.</w:t>
      </w:r>
    </w:p>
    <w:p>
      <w:pPr>
        <w:pStyle w:val="ListBullet"/>
        <w:spacing w:after="40" w:before="0"/>
      </w:pPr>
      <w:r>
        <w:rPr>
          <w:color w:val="101820"/>
          <w:sz w:val="20"/>
        </w:rPr>
        <w:t>End-to-end ownership: From requirements gathering through 24-month post-launch monitoring, a single accountable partner—no subcontracting gaps.</w:t>
      </w:r>
    </w:p>
    <w:p>
      <w:pPr>
        <w:pStyle w:val="ListBullet"/>
        <w:spacing w:after="40" w:before="0"/>
      </w:pPr>
      <w:r>
        <w:rPr>
          <w:color w:val="101820"/>
          <w:sz w:val="20"/>
        </w:rPr>
        <w:t>Value for money: Competitive daily rates backed by transparent budgeting, 10% contingency provision, and milestone-based payments aligned to VillageReach cash flow.</w:t>
      </w:r>
    </w:p>
    <w:p>
      <w:r>
        <w:br w:type="page"/>
      </w:r>
    </w:p>
    <w:p>
      <w:pPr>
        <w:ind w:left="360"/>
      </w:pPr>
      <w:r>
        <w:t>2. Understanding of Requirements</w:t>
      </w:r>
    </w:p>
    <w:p>
      <w:pPr>
        <w:ind w:left="360"/>
      </w:pPr>
      <w:r>
        <w:t>The CHOICE Project seeks to deploy a USSD-based health information service that empowers women in Balaka and Lilongwe with accessible, actionable health knowledge. The service must operate on short code 54747 (shared between TNM and Airtel), present content in Chichewa, and respect severe technical constraints inherent to the USSD protocol.</w:t>
      </w:r>
    </w:p>
    <w:p>
      <w:pPr>
        <w:ind w:left="360"/>
      </w:pPr>
      <w:r>
        <w:t>Core Requirements</w:t>
      </w:r>
    </w:p>
    <w:p>
      <w:pPr>
        <w:pStyle w:val="ListBullet"/>
        <w:spacing w:after="40" w:before="0"/>
      </w:pPr>
      <w:r>
        <w:rPr>
          <w:color w:val="101820"/>
          <w:sz w:val="20"/>
        </w:rPr>
        <w:t>USSD menu design and deployment on short code 54747 (TNM + Airtel networks).</w:t>
      </w:r>
    </w:p>
    <w:p>
      <w:pPr>
        <w:pStyle w:val="ListBullet"/>
        <w:spacing w:after="40" w:before="0"/>
      </w:pPr>
      <w:r>
        <w:rPr>
          <w:color w:val="101820"/>
          <w:sz w:val="20"/>
        </w:rPr>
        <w:t>User Acceptance Testing with a minimum of 20 participants from target demographics.</w:t>
      </w:r>
    </w:p>
    <w:p>
      <w:pPr>
        <w:pStyle w:val="ListBullet"/>
        <w:spacing w:after="40" w:before="0"/>
      </w:pPr>
      <w:r>
        <w:rPr>
          <w:color w:val="101820"/>
          <w:sz w:val="20"/>
        </w:rPr>
        <w:t>Data pipeline integration connecting USSD interactions to VillageReach monitoring systems via REST API.</w:t>
      </w:r>
    </w:p>
    <w:p>
      <w:pPr>
        <w:pStyle w:val="ListBullet"/>
        <w:spacing w:after="40" w:before="0"/>
      </w:pPr>
      <w:r>
        <w:rPr>
          <w:color w:val="101820"/>
          <w:sz w:val="20"/>
        </w:rPr>
        <w:t>Monthly uptime and usage reporting with ≥99% availability target.</w:t>
      </w:r>
    </w:p>
    <w:p>
      <w:pPr>
        <w:pStyle w:val="ListBullet"/>
        <w:spacing w:after="40" w:before="0"/>
      </w:pPr>
      <w:r>
        <w:rPr>
          <w:color w:val="101820"/>
          <w:sz w:val="20"/>
        </w:rPr>
        <w:t>Training and handover documentation for VillageReach technical staff.</w:t>
      </w:r>
    </w:p>
    <w:p>
      <w:pPr>
        <w:pStyle w:val="ListBullet"/>
        <w:spacing w:after="40" w:before="0"/>
      </w:pPr>
      <w:r>
        <w:rPr>
          <w:color w:val="101820"/>
          <w:sz w:val="20"/>
        </w:rPr>
        <w:t>24-month post-launch maintenance and support commitment.</w:t>
      </w:r>
    </w:p>
    <w:p>
      <w:pPr>
        <w:pStyle w:val="ListBullet"/>
        <w:spacing w:after="40" w:before="0"/>
      </w:pPr>
      <w:r>
        <w:rPr>
          <w:color w:val="101820"/>
          <w:sz w:val="20"/>
        </w:rPr>
        <w:t>Completion report at end of engagement summarizing outcomes and recommendations.</w:t>
      </w:r>
    </w:p>
    <w:p>
      <w:pPr>
        <w:ind w:left="360"/>
      </w:pPr>
      <w:r>
        <w:t>Technical Constraints</w:t>
      </w:r>
    </w:p>
    <w:p>
      <w:pPr>
        <w:pStyle w:val="ListBullet"/>
        <w:spacing w:after="40" w:before="0"/>
      </w:pPr>
      <w:r>
        <w:rPr>
          <w:color w:val="101820"/>
          <w:sz w:val="20"/>
        </w:rPr>
        <w:t>Maximum 182 characters per USSD screen—every word must earn its place.</w:t>
      </w:r>
    </w:p>
    <w:p>
      <w:pPr>
        <w:pStyle w:val="ListBullet"/>
        <w:spacing w:after="40" w:before="0"/>
      </w:pPr>
      <w:r>
        <w:rPr>
          <w:color w:val="101820"/>
          <w:sz w:val="20"/>
        </w:rPr>
        <w:t>Number-driven navigation only (1, 2, 3…); no free-text input on menu screens.</w:t>
      </w:r>
    </w:p>
    <w:p>
      <w:pPr>
        <w:pStyle w:val="ListBullet"/>
        <w:spacing w:after="40" w:before="0"/>
      </w:pPr>
      <w:r>
        <w:rPr>
          <w:color w:val="101820"/>
          <w:sz w:val="20"/>
        </w:rPr>
        <w:t>"99. Main Menu" must appear on every screen for consistent back-navigation.</w:t>
      </w:r>
    </w:p>
    <w:p>
      <w:pPr>
        <w:pStyle w:val="ListBullet"/>
        <w:spacing w:after="40" w:before="0"/>
      </w:pPr>
      <w:r>
        <w:rPr>
          <w:color w:val="101820"/>
          <w:sz w:val="20"/>
        </w:rPr>
        <w:t>Maximum four menu levels deep to prevent user fatigue and drop-off.</w:t>
      </w:r>
    </w:p>
    <w:p>
      <w:pPr>
        <w:pStyle w:val="ListBullet"/>
        <w:spacing w:after="40" w:before="0"/>
      </w:pPr>
      <w:r>
        <w:rPr>
          <w:color w:val="101820"/>
          <w:sz w:val="20"/>
        </w:rPr>
        <w:t>Chichewa-language content requiring culturally appropriate health messaging.</w:t>
      </w:r>
    </w:p>
    <w:p>
      <w:r>
        <w:br w:type="page"/>
      </w:r>
    </w:p>
    <w:p>
      <w:pPr>
        <w:ind w:left="360"/>
      </w:pPr>
      <w:r>
        <w:t>3. Proposed Technical Approach</w:t>
      </w:r>
    </w:p>
    <w:p>
      <w:pPr>
        <w:ind w:left="360"/>
      </w:pPr>
      <w:r>
        <w:t>Our approach follows a four-phase methodology designed to move rapidly from requirements to a live, monitored service while building VillageReach capacity for long-term sustainability.</w:t>
      </w:r>
    </w:p>
    <w:p>
      <w:pPr>
        <w:ind w:left="360"/>
      </w:pPr>
      <w:r>
        <w:t>Phase 1: Discovery &amp; Design (Week 1)</w:t>
      </w:r>
    </w:p>
    <w:p>
      <w:pPr>
        <w:pStyle w:val="ListBullet"/>
        <w:spacing w:after="40" w:before="0"/>
      </w:pPr>
      <w:r>
        <w:rPr>
          <w:color w:val="101820"/>
          <w:sz w:val="20"/>
        </w:rPr>
        <w:t>Stakeholder interviews with VillageReach program team, Oxfam Canada, and local health officers in Balaka and Lilongwe.</w:t>
      </w:r>
    </w:p>
    <w:p>
      <w:pPr>
        <w:pStyle w:val="ListBullet"/>
        <w:spacing w:after="40" w:before="0"/>
      </w:pPr>
      <w:r>
        <w:rPr>
          <w:color w:val="101820"/>
          <w:sz w:val="20"/>
        </w:rPr>
        <w:t>Content architecture workshop: define USSD menu tree, information hierarchy, and Chichewa terminology consensus.</w:t>
      </w:r>
    </w:p>
    <w:p>
      <w:pPr>
        <w:pStyle w:val="ListBullet"/>
        <w:spacing w:after="40" w:before="0"/>
      </w:pPr>
      <w:r>
        <w:rPr>
          <w:color w:val="101820"/>
          <w:sz w:val="20"/>
        </w:rPr>
        <w:t>Technical architecture review: USSD gateway integration (Airtel + TNM APIs), REST API endpoint design for data pipeline, and hosting environment setup.</w:t>
      </w:r>
    </w:p>
    <w:p>
      <w:pPr>
        <w:pStyle w:val="ListBullet"/>
        <w:spacing w:after="40" w:before="0"/>
      </w:pPr>
      <w:r>
        <w:rPr>
          <w:color w:val="101820"/>
          <w:sz w:val="20"/>
        </w:rPr>
        <w:t>Wireframe development: low-fidelity screen mockups for all menu paths, validated against 182-character constraints.</w:t>
      </w:r>
    </w:p>
    <w:p>
      <w:pPr>
        <w:ind w:left="360"/>
      </w:pPr>
      <w:r>
        <w:t>Phase 2: Build &amp; Test (Weeks 2–3)</w:t>
      </w:r>
    </w:p>
    <w:p>
      <w:pPr>
        <w:pStyle w:val="ListBullet"/>
        <w:spacing w:after="40" w:before="0"/>
      </w:pPr>
      <w:r>
        <w:rPr>
          <w:color w:val="101820"/>
          <w:sz w:val="20"/>
        </w:rPr>
        <w:t>USSD application development using our constraint-first design methodology.</w:t>
      </w:r>
    </w:p>
    <w:p>
      <w:pPr>
        <w:pStyle w:val="ListBullet"/>
        <w:spacing w:after="40" w:before="0"/>
      </w:pPr>
      <w:r>
        <w:rPr>
          <w:color w:val="101820"/>
          <w:sz w:val="20"/>
        </w:rPr>
        <w:t>REST API implementation for data pipeline integration with VillageReach monitoring systems.</w:t>
      </w:r>
    </w:p>
    <w:p>
      <w:pPr>
        <w:pStyle w:val="ListBullet"/>
        <w:spacing w:after="40" w:before="0"/>
      </w:pPr>
      <w:r>
        <w:rPr>
          <w:color w:val="101820"/>
          <w:sz w:val="20"/>
        </w:rPr>
        <w:t>Internal QA: functional testing across TNM and Airtel test SIMs, character-count validation, navigation flow verification.</w:t>
      </w:r>
    </w:p>
    <w:p>
      <w:pPr>
        <w:pStyle w:val="ListBullet"/>
        <w:spacing w:after="40" w:before="0"/>
      </w:pPr>
      <w:r>
        <w:rPr>
          <w:color w:val="101820"/>
          <w:sz w:val="20"/>
        </w:rPr>
        <w:t>Performance load testing to validate 99% uptime target under peak traffic conditions.</w:t>
      </w:r>
    </w:p>
    <w:p>
      <w:pPr>
        <w:ind w:left="360"/>
      </w:pPr>
      <w:r>
        <w:t>Phase 3: UAT &amp; Launch (Week 4)</w:t>
      </w:r>
    </w:p>
    <w:p>
      <w:pPr>
        <w:pStyle w:val="ListBullet"/>
        <w:spacing w:after="40" w:before="0"/>
      </w:pPr>
      <w:r>
        <w:rPr>
          <w:color w:val="101820"/>
          <w:sz w:val="20"/>
        </w:rPr>
        <w:t>User Acceptance Testing with minimum 20 participants from Balaka and Lilongwe, including low-literacy users.</w:t>
      </w:r>
    </w:p>
    <w:p>
      <w:pPr>
        <w:pStyle w:val="ListBullet"/>
        <w:spacing w:after="40" w:before="0"/>
      </w:pPr>
      <w:r>
        <w:rPr>
          <w:color w:val="101820"/>
          <w:sz w:val="20"/>
        </w:rPr>
        <w:t>Iterative refinement based on UAT findings—menu restructuring, wording adjustments, navigation simplification.</w:t>
      </w:r>
    </w:p>
    <w:p>
      <w:pPr>
        <w:pStyle w:val="ListBullet"/>
        <w:spacing w:after="40" w:before="0"/>
      </w:pPr>
      <w:r>
        <w:rPr>
          <w:color w:val="101820"/>
          <w:sz w:val="20"/>
        </w:rPr>
        <w:t>Production deployment on short code 54747 across both TNM and Airtel networks.</w:t>
      </w:r>
    </w:p>
    <w:p>
      <w:pPr>
        <w:pStyle w:val="ListBullet"/>
        <w:spacing w:after="40" w:before="0"/>
      </w:pPr>
      <w:r>
        <w:rPr>
          <w:color w:val="101820"/>
          <w:sz w:val="20"/>
        </w:rPr>
        <w:t>Go-live monitoring: 48-hour intensive uptime and performance monitoring during launch window.</w:t>
      </w:r>
    </w:p>
    <w:p>
      <w:pPr>
        <w:ind w:left="360"/>
      </w:pPr>
      <w:r>
        <w:t>Phase 4: Maintenance &amp; Reporting (Months 2–24)</w:t>
      </w:r>
    </w:p>
    <w:p>
      <w:pPr>
        <w:pStyle w:val="ListBullet"/>
        <w:spacing w:after="40" w:before="0"/>
      </w:pPr>
      <w:r>
        <w:rPr>
          <w:color w:val="101820"/>
          <w:sz w:val="20"/>
        </w:rPr>
        <w:t>Monthly uptime and usage reports with trend analysis and anomaly flagging.</w:t>
      </w:r>
    </w:p>
    <w:p>
      <w:pPr>
        <w:pStyle w:val="ListBullet"/>
        <w:spacing w:after="40" w:before="0"/>
      </w:pPr>
      <w:r>
        <w:rPr>
          <w:color w:val="101820"/>
          <w:sz w:val="20"/>
        </w:rPr>
        <w:t>Content updates as health messaging requirements evolve (up to 2 major revisions per quarter).</w:t>
      </w:r>
    </w:p>
    <w:p>
      <w:pPr>
        <w:pStyle w:val="ListBullet"/>
        <w:spacing w:after="40" w:before="0"/>
      </w:pPr>
      <w:r>
        <w:rPr>
          <w:color w:val="101820"/>
          <w:sz w:val="20"/>
        </w:rPr>
        <w:t>Bug fixes and performance optimization within 24-hour SLA for critical issues.</w:t>
      </w:r>
    </w:p>
    <w:p>
      <w:pPr>
        <w:pStyle w:val="ListBullet"/>
        <w:spacing w:after="40" w:before="0"/>
      </w:pPr>
      <w:r>
        <w:rPr>
          <w:color w:val="101820"/>
          <w:sz w:val="20"/>
        </w:rPr>
        <w:t>Continuous data pipeline monitoring and API health checks.</w:t>
      </w:r>
    </w:p>
    <w:p>
      <w:pPr>
        <w:pStyle w:val="ListBullet"/>
        <w:spacing w:after="40" w:before="0"/>
      </w:pPr>
      <w:r>
        <w:rPr>
          <w:color w:val="101820"/>
          <w:sz w:val="20"/>
        </w:rPr>
        <w:t>End-of-engagement completion report with lessons learned and recommendations for sustainability.</w:t>
      </w:r>
    </w:p>
    <w:p>
      <w:r>
        <w:br w:type="page"/>
      </w:r>
    </w:p>
    <w:p>
      <w:pPr>
        <w:ind w:left="360"/>
      </w:pPr>
      <w:r>
        <w:t>4. USSD Menu Wireframe &amp; Prototype Plan</w:t>
      </w:r>
    </w:p>
    <w:p>
      <w:pPr>
        <w:ind w:left="360"/>
      </w:pPr>
      <w:r>
        <w:t>The following wireframe illustrates our proposed USSD menu architecture. This will be delivered as an interactive prototype during the Discovery &amp; Design phase for stakeholder validation before development begins.</w:t>
      </w:r>
    </w:p>
    <w:p>
      <w:pPr>
        <w:ind w:left="360"/>
      </w:pPr>
      <w:r>
        <w:t>Proposed Menu Structure (Wireframe)</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196"/>
        <w:gridCol w:w="2196"/>
        <w:gridCol w:w="2196"/>
        <w:gridCol w:w="2196"/>
      </w:tblGrid>
      <w:tr>
        <w:trPr>
          <w:tblHeader/>
        </w:trPr>
        <w:tc>
          <w:tcPr>
            <w:tcW w:type="dxa" w:w="2196"/>
            <w:shd w:fill="070A40" w:val="clear" w:color="auto"/>
            <w:vAlign w:val="center"/>
          </w:tcPr>
          <w:p>
            <w:pPr>
              <w:jc w:val="center"/>
            </w:pPr>
            <w:r>
              <w:rPr>
                <w:b/>
                <w:color w:val="FFFFFF"/>
              </w:rPr>
            </w:r>
            <w:r>
              <w:rPr>
                <w:b/>
                <w:color w:val="FFFFFF"/>
                <w:sz w:val="18"/>
              </w:rPr>
              <w:t>Screen</w:t>
            </w:r>
          </w:p>
        </w:tc>
        <w:tc>
          <w:tcPr>
            <w:tcW w:type="dxa" w:w="2196"/>
            <w:shd w:fill="070A40" w:val="clear" w:color="auto"/>
            <w:vAlign w:val="center"/>
          </w:tcPr>
          <w:p>
            <w:pPr>
              <w:jc w:val="center"/>
            </w:pPr>
            <w:r>
              <w:rPr>
                <w:b/>
                <w:color w:val="FFFFFF"/>
              </w:rPr>
            </w:r>
            <w:r>
              <w:rPr>
                <w:b/>
                <w:color w:val="FFFFFF"/>
                <w:sz w:val="18"/>
              </w:rPr>
              <w:t>Content (Chichewa)</w:t>
            </w:r>
          </w:p>
        </w:tc>
        <w:tc>
          <w:tcPr>
            <w:tcW w:type="dxa" w:w="2196"/>
            <w:shd w:fill="070A40" w:val="clear" w:color="auto"/>
            <w:vAlign w:val="center"/>
          </w:tcPr>
          <w:p>
            <w:pPr>
              <w:jc w:val="center"/>
            </w:pPr>
            <w:r>
              <w:rPr>
                <w:b/>
                <w:color w:val="FFFFFF"/>
              </w:rPr>
            </w:r>
            <w:r>
              <w:rPr>
                <w:b/>
                <w:color w:val="FFFFFF"/>
                <w:sz w:val="18"/>
              </w:rPr>
              <w:t>Chars</w:t>
            </w:r>
          </w:p>
        </w:tc>
        <w:tc>
          <w:tcPr>
            <w:tcW w:type="dxa" w:w="2196"/>
            <w:shd w:fill="070A40" w:val="clear" w:color="auto"/>
            <w:vAlign w:val="center"/>
          </w:tcPr>
          <w:p>
            <w:pPr>
              <w:jc w:val="center"/>
            </w:pPr>
            <w:r>
              <w:rPr>
                <w:b/>
                <w:color w:val="FFFFFF"/>
              </w:rPr>
            </w:r>
            <w:r>
              <w:rPr>
                <w:b/>
                <w:color w:val="FFFFFF"/>
                <w:sz w:val="18"/>
              </w:rPr>
              <w:t>Navigation</w:t>
            </w:r>
          </w:p>
        </w:tc>
      </w:tr>
      <w:tr>
        <w:tc>
          <w:tcPr>
            <w:tcW w:type="dxa" w:w="2196"/>
          </w:tcPr>
          <w:p>
            <w:pPr>
              <w:jc w:val="left"/>
            </w:pPr>
            <w:r/>
            <w:r>
              <w:rPr>
                <w:color w:val="101820"/>
                <w:sz w:val="18"/>
              </w:rPr>
              <w:t>Main Menu</w:t>
            </w:r>
          </w:p>
        </w:tc>
        <w:tc>
          <w:tcPr>
            <w:tcW w:type="dxa" w:w="2196"/>
          </w:tcPr>
          <w:p>
            <w:pPr>
              <w:jc w:val="left"/>
            </w:pPr>
            <w:r/>
            <w:r>
              <w:rPr>
                <w:color w:val="101820"/>
                <w:sz w:val="18"/>
              </w:rPr>
              <w:t>1. Thanzi la thanzi</w:t>
              <w:br/>
              <w:t>2. Kukhala ndi moyo</w:t>
              <w:br/>
              <w:t>3. Ubwenzi bwino</w:t>
              <w:br/>
              <w:t>4. Zambiri</w:t>
              <w:br/>
              <w:t>99. Main Menu</w:t>
            </w:r>
          </w:p>
        </w:tc>
        <w:tc>
          <w:tcPr>
            <w:tcW w:type="dxa" w:w="2196"/>
          </w:tcPr>
          <w:p>
            <w:pPr>
              <w:jc w:val="left"/>
            </w:pPr>
            <w:r/>
            <w:r>
              <w:rPr>
                <w:color w:val="101820"/>
                <w:sz w:val="18"/>
              </w:rPr>
              <w:t>94</w:t>
            </w:r>
          </w:p>
        </w:tc>
        <w:tc>
          <w:tcPr>
            <w:tcW w:type="dxa" w:w="2196"/>
          </w:tcPr>
          <w:p>
            <w:pPr>
              <w:jc w:val="left"/>
            </w:pPr>
            <w:r/>
            <w:r>
              <w:rPr>
                <w:color w:val="101820"/>
                <w:sz w:val="18"/>
              </w:rPr>
              <w:t>1-4 select</w:t>
              <w:br/>
              <w:t>99 back</w:t>
            </w:r>
          </w:p>
        </w:tc>
      </w:tr>
      <w:tr>
        <w:tc>
          <w:tcPr>
            <w:tcW w:type="dxa" w:w="2196"/>
            <w:shd w:fill="F2F5FA" w:val="clear" w:color="auto"/>
          </w:tcPr>
          <w:p>
            <w:pPr>
              <w:jc w:val="left"/>
            </w:pPr>
            <w:r/>
            <w:r>
              <w:rPr>
                <w:color w:val="101820"/>
                <w:sz w:val="18"/>
              </w:rPr>
              <w:t>1. Thanzi la thanzi</w:t>
            </w:r>
          </w:p>
        </w:tc>
        <w:tc>
          <w:tcPr>
            <w:tcW w:type="dxa" w:w="2196"/>
            <w:shd w:fill="F2F5FA" w:val="clear" w:color="auto"/>
          </w:tcPr>
          <w:p>
            <w:pPr>
              <w:jc w:val="left"/>
            </w:pPr>
            <w:r/>
            <w:r>
              <w:rPr>
                <w:color w:val="101820"/>
                <w:sz w:val="18"/>
              </w:rPr>
              <w:t>1. Thanzi la amai</w:t>
              <w:br/>
              <w:t>2. Thanzi la ana</w:t>
              <w:br/>
              <w:t>3. Matenda osowa</w:t>
              <w:br/>
              <w:t>4. Mphamvu ya chakudya</w:t>
              <w:br/>
              <w:t>99. Main Menu</w:t>
            </w:r>
          </w:p>
        </w:tc>
        <w:tc>
          <w:tcPr>
            <w:tcW w:type="dxa" w:w="2196"/>
            <w:shd w:fill="F2F5FA" w:val="clear" w:color="auto"/>
          </w:tcPr>
          <w:p>
            <w:pPr>
              <w:jc w:val="left"/>
            </w:pPr>
            <w:r/>
            <w:r>
              <w:rPr>
                <w:color w:val="101820"/>
                <w:sz w:val="18"/>
              </w:rPr>
              <w:t>101</w:t>
            </w:r>
          </w:p>
        </w:tc>
        <w:tc>
          <w:tcPr>
            <w:tcW w:type="dxa" w:w="2196"/>
            <w:shd w:fill="F2F5FA" w:val="clear" w:color="auto"/>
          </w:tcPr>
          <w:p>
            <w:pPr>
              <w:jc w:val="left"/>
            </w:pPr>
            <w:r/>
            <w:r>
              <w:rPr>
                <w:color w:val="101820"/>
                <w:sz w:val="18"/>
              </w:rPr>
              <w:t>1-4 select</w:t>
              <w:br/>
              <w:t>99 back</w:t>
            </w:r>
          </w:p>
        </w:tc>
      </w:tr>
      <w:tr>
        <w:tc>
          <w:tcPr>
            <w:tcW w:type="dxa" w:w="2196"/>
          </w:tcPr>
          <w:p>
            <w:pPr>
              <w:jc w:val="left"/>
            </w:pPr>
            <w:r/>
            <w:r>
              <w:rPr>
                <w:color w:val="101820"/>
                <w:sz w:val="18"/>
              </w:rPr>
              <w:t>1.1 Thanzi la amai</w:t>
            </w:r>
          </w:p>
        </w:tc>
        <w:tc>
          <w:tcPr>
            <w:tcW w:type="dxa" w:w="2196"/>
          </w:tcPr>
          <w:p>
            <w:pPr>
              <w:jc w:val="left"/>
            </w:pPr>
            <w:r/>
            <w:r>
              <w:rPr>
                <w:color w:val="101820"/>
                <w:sz w:val="18"/>
              </w:rPr>
              <w:t>Kukhala ndi moyo wa thanzi:</w:t>
              <w:br/>
              <w:t>• Kusamba pochapa</w:t>
              <w:br/>
              <w:t>• Kudya zakudya zoyenera</w:t>
              <w:br/>
              <w:t>• Kuchita masewera</w:t>
              <w:br/>
              <w:t>99. Main Menu</w:t>
            </w:r>
          </w:p>
        </w:tc>
        <w:tc>
          <w:tcPr>
            <w:tcW w:type="dxa" w:w="2196"/>
          </w:tcPr>
          <w:p>
            <w:pPr>
              <w:jc w:val="left"/>
            </w:pPr>
            <w:r/>
            <w:r>
              <w:rPr>
                <w:color w:val="101820"/>
                <w:sz w:val="18"/>
              </w:rPr>
              <w:t>128</w:t>
            </w:r>
          </w:p>
        </w:tc>
        <w:tc>
          <w:tcPr>
            <w:tcW w:type="dxa" w:w="2196"/>
          </w:tcPr>
          <w:p>
            <w:pPr>
              <w:jc w:val="left"/>
            </w:pPr>
            <w:r/>
            <w:r>
              <w:rPr>
                <w:color w:val="101820"/>
                <w:sz w:val="18"/>
              </w:rPr>
              <w:t>99 back</w:t>
            </w:r>
          </w:p>
        </w:tc>
      </w:tr>
      <w:tr>
        <w:tc>
          <w:tcPr>
            <w:tcW w:type="dxa" w:w="2196"/>
            <w:shd w:val="clear" w:color="auto" w:fill="F2F5FA"/>
          </w:tcPr>
          <w:p>
            <w:pPr>
              <w:jc w:val="left"/>
            </w:pPr>
            <w:r/>
            <w:r>
              <w:rPr>
                <w:color w:val="101820"/>
                <w:sz w:val="18"/>
              </w:rPr>
              <w:t>2. Kukhala ndi moyo</w:t>
            </w:r>
          </w:p>
        </w:tc>
        <w:tc>
          <w:tcPr>
            <w:tcW w:type="dxa" w:w="2196"/>
            <w:shd w:val="clear" w:color="auto" w:fill="F2F5FA"/>
          </w:tcPr>
          <w:p>
            <w:pPr>
              <w:jc w:val="left"/>
            </w:pPr>
            <w:r/>
            <w:r>
              <w:rPr>
                <w:color w:val="101820"/>
                <w:sz w:val="18"/>
              </w:rPr>
              <w:t>1. Moyo wathanzi</w:t>
              <w:br/>
              <w:t>2. Chuma ndi moyo</w:t>
              <w:br/>
              <w:t>3. Kutchinjiriza</w:t>
              <w:br/>
              <w:t>99. Main Menu</w:t>
            </w:r>
          </w:p>
        </w:tc>
        <w:tc>
          <w:tcPr>
            <w:tcW w:type="dxa" w:w="2196"/>
            <w:shd w:val="clear" w:color="auto" w:fill="F2F5FA"/>
          </w:tcPr>
          <w:p>
            <w:pPr>
              <w:jc w:val="left"/>
            </w:pPr>
            <w:r/>
            <w:r>
              <w:rPr>
                <w:color w:val="101820"/>
                <w:sz w:val="18"/>
              </w:rPr>
              <w:t>78</w:t>
            </w:r>
          </w:p>
        </w:tc>
        <w:tc>
          <w:tcPr>
            <w:tcW w:type="dxa" w:w="2196"/>
            <w:shd w:val="clear" w:color="auto" w:fill="F2F5FA"/>
          </w:tcPr>
          <w:p>
            <w:pPr>
              <w:jc w:val="left"/>
            </w:pPr>
            <w:r/>
            <w:r>
              <w:rPr>
                <w:color w:val="101820"/>
                <w:sz w:val="18"/>
              </w:rPr>
              <w:t>1-3 select</w:t>
              <w:br/>
              <w:t>99 back</w:t>
            </w:r>
          </w:p>
        </w:tc>
      </w:tr>
      <w:tr>
        <w:tc>
          <w:tcPr>
            <w:tcW w:type="dxa" w:w="2196"/>
            <w:shd w:fill="D0F0E8" w:val="clear"/>
          </w:tcPr>
          <w:p>
            <w:pPr>
              <w:jc w:val="left"/>
            </w:pPr>
            <w:r/>
            <w:r>
              <w:rPr>
                <w:color w:val="101820"/>
                <w:sz w:val="18"/>
              </w:rPr>
              <w:t>99. Main Menu</w:t>
            </w:r>
          </w:p>
        </w:tc>
        <w:tc>
          <w:tcPr>
            <w:tcW w:type="dxa" w:w="2196"/>
            <w:shd w:fill="D0F0E8" w:val="clear"/>
          </w:tcPr>
          <w:p>
            <w:pPr>
              <w:jc w:val="left"/>
            </w:pPr>
            <w:r/>
            <w:r>
              <w:rPr>
                <w:color w:val="101820"/>
                <w:sz w:val="18"/>
              </w:rPr>
              <w:t>Tiyambirenso:</w:t>
              <w:br/>
              <w:t>1. Thanzi la thanzi</w:t>
              <w:br/>
              <w:t>2. Kukhala ndi moyo</w:t>
              <w:br/>
              <w:t>3. Ubwenzi bwino</w:t>
              <w:br/>
              <w:t>4. Zambiri</w:t>
            </w:r>
          </w:p>
        </w:tc>
        <w:tc>
          <w:tcPr>
            <w:tcW w:type="dxa" w:w="2196"/>
            <w:shd w:fill="D0F0E8" w:val="clear"/>
          </w:tcPr>
          <w:p>
            <w:pPr>
              <w:jc w:val="left"/>
            </w:pPr>
            <w:r/>
            <w:r>
              <w:rPr>
                <w:color w:val="101820"/>
                <w:sz w:val="18"/>
              </w:rPr>
              <w:t>94</w:t>
            </w:r>
          </w:p>
        </w:tc>
        <w:tc>
          <w:tcPr>
            <w:tcW w:type="dxa" w:w="2196"/>
            <w:shd w:fill="D0F0E8" w:val="clear"/>
          </w:tcPr>
          <w:p>
            <w:pPr>
              <w:jc w:val="left"/>
            </w:pPr>
            <w:r/>
            <w:r>
              <w:rPr>
                <w:color w:val="101820"/>
                <w:sz w:val="18"/>
              </w:rPr>
              <w:t>1-4 select</w:t>
            </w:r>
          </w:p>
        </w:tc>
      </w:tr>
    </w:tbl>
    <w:p>
      <w:pPr/>
      <w:r/>
    </w:p>
    <w:p>
      <w:pPr>
        <w:ind w:left="360"/>
      </w:pPr>
      <w:r>
        <w:t>Prototype Deliverables</w:t>
      </w:r>
    </w:p>
    <w:p>
      <w:pPr>
        <w:pStyle w:val="ListBullet"/>
        <w:spacing w:after="40" w:before="0"/>
      </w:pPr>
      <w:r>
        <w:rPr>
          <w:color w:val="101820"/>
          <w:sz w:val="20"/>
        </w:rPr>
        <w:t>Interactive HTML prototype simulating USSD screen flow (clickable navigation).</w:t>
      </w:r>
    </w:p>
    <w:p>
      <w:pPr>
        <w:pStyle w:val="ListBullet"/>
        <w:spacing w:after="40" w:before="0"/>
      </w:pPr>
      <w:r>
        <w:rPr>
          <w:color w:val="101820"/>
          <w:sz w:val="20"/>
        </w:rPr>
        <w:t>Character-count validator tool for all content screens.</w:t>
      </w:r>
    </w:p>
    <w:p>
      <w:pPr>
        <w:pStyle w:val="ListBullet"/>
        <w:spacing w:after="40" w:before="0"/>
      </w:pPr>
      <w:r>
        <w:rPr>
          <w:color w:val="101820"/>
          <w:sz w:val="20"/>
        </w:rPr>
        <w:t>Navigation flow diagram showing all paths from Main Menu to leaf nodes.</w:t>
      </w:r>
    </w:p>
    <w:p>
      <w:pPr>
        <w:pStyle w:val="ListBullet"/>
        <w:spacing w:after="40" w:before="0"/>
      </w:pPr>
      <w:r>
        <w:rPr>
          <w:color w:val="101820"/>
          <w:sz w:val="20"/>
        </w:rPr>
        <w:t>Stakeholder review session with VillageReach team for prototype validation.</w:t>
      </w:r>
    </w:p>
    <w:p>
      <w:pPr>
        <w:pStyle w:val="ListBullet"/>
        <w:spacing w:after="40" w:before="0"/>
      </w:pPr>
      <w:r>
        <w:rPr>
          <w:color w:val="101820"/>
          <w:sz w:val="20"/>
        </w:rPr>
        <w:t>Revised wireframe incorporating feedback before Build phase begins.</w:t>
      </w:r>
    </w:p>
    <w:p>
      <w:r>
        <w:br w:type="page"/>
      </w:r>
    </w:p>
    <w:p>
      <w:pPr>
        <w:ind w:left="360"/>
      </w:pPr>
      <w:r>
        <w:t>5. Team Composition &amp; Qualifications</w:t>
      </w:r>
    </w:p>
    <w:p>
      <w:pPr>
        <w:ind w:left="360"/>
      </w:pPr>
      <w:r>
        <w:t>Our proposed team combines deep USSD technical expertise with local Malawi knowledge and international health program experience. All team members are full-time Light Speed Holdings staff—no subcontracting.</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196"/>
        <w:gridCol w:w="2196"/>
        <w:gridCol w:w="2196"/>
        <w:gridCol w:w="2196"/>
      </w:tblGrid>
      <w:tr>
        <w:trPr>
          <w:tblHeader/>
        </w:trPr>
        <w:tc>
          <w:tcPr>
            <w:tcW w:type="dxa" w:w="2196"/>
            <w:shd w:fill="070A40" w:val="clear" w:color="auto"/>
            <w:vAlign w:val="center"/>
          </w:tcPr>
          <w:p>
            <w:pPr>
              <w:jc w:val="center"/>
            </w:pPr>
            <w:r>
              <w:rPr>
                <w:b/>
                <w:color w:val="FFFFFF"/>
              </w:rPr>
            </w:r>
            <w:r>
              <w:rPr>
                <w:b/>
                <w:color w:val="FFFFFF"/>
                <w:sz w:val="18"/>
              </w:rPr>
              <w:t>Role</w:t>
            </w:r>
          </w:p>
        </w:tc>
        <w:tc>
          <w:tcPr>
            <w:tcW w:type="dxa" w:w="2196"/>
            <w:shd w:fill="070A40" w:val="clear" w:color="auto"/>
            <w:vAlign w:val="center"/>
          </w:tcPr>
          <w:p>
            <w:pPr>
              <w:jc w:val="center"/>
            </w:pPr>
            <w:r>
              <w:rPr>
                <w:b/>
                <w:color w:val="FFFFFF"/>
              </w:rPr>
            </w:r>
            <w:r>
              <w:rPr>
                <w:b/>
                <w:color w:val="FFFFFF"/>
                <w:sz w:val="18"/>
              </w:rPr>
              <w:t>Name / Designation</w:t>
            </w:r>
          </w:p>
        </w:tc>
        <w:tc>
          <w:tcPr>
            <w:tcW w:type="dxa" w:w="2196"/>
            <w:shd w:fill="070A40" w:val="clear" w:color="auto"/>
            <w:vAlign w:val="center"/>
          </w:tcPr>
          <w:p>
            <w:pPr>
              <w:jc w:val="center"/>
            </w:pPr>
            <w:r>
              <w:rPr>
                <w:b/>
                <w:color w:val="FFFFFF"/>
              </w:rPr>
            </w:r>
            <w:r>
              <w:rPr>
                <w:b/>
                <w:color w:val="FFFFFF"/>
                <w:sz w:val="18"/>
              </w:rPr>
              <w:t>Key Qualifications</w:t>
            </w:r>
          </w:p>
        </w:tc>
        <w:tc>
          <w:tcPr>
            <w:tcW w:type="dxa" w:w="2196"/>
            <w:shd w:fill="070A40" w:val="clear" w:color="auto"/>
            <w:vAlign w:val="center"/>
          </w:tcPr>
          <w:p>
            <w:pPr>
              <w:jc w:val="center"/>
            </w:pPr>
            <w:r>
              <w:rPr>
                <w:b/>
                <w:color w:val="FFFFFF"/>
              </w:rPr>
            </w:r>
            <w:r>
              <w:rPr>
                <w:b/>
                <w:color w:val="FFFFFF"/>
                <w:sz w:val="18"/>
              </w:rPr>
              <w:t>Allocation</w:t>
            </w:r>
          </w:p>
        </w:tc>
      </w:tr>
      <w:tr>
        <w:tc>
          <w:tcPr>
            <w:tcW w:type="dxa" w:w="2196"/>
            <w:shd w:fill="D0F0E8" w:val="clear"/>
          </w:tcPr>
          <w:p>
            <w:pPr>
              <w:jc w:val="left"/>
            </w:pPr>
            <w:r/>
            <w:r>
              <w:rPr>
                <w:color w:val="101820"/>
                <w:sz w:val="18"/>
              </w:rPr>
              <w:t>Consulting Lead</w:t>
              <w:br/>
              <w:t>(Project Manager)</w:t>
            </w:r>
          </w:p>
        </w:tc>
        <w:tc>
          <w:tcPr>
            <w:tcW w:type="dxa" w:w="2196"/>
            <w:shd w:fill="D0F0E8" w:val="clear"/>
          </w:tcPr>
          <w:p>
            <w:pPr>
              <w:jc w:val="left"/>
            </w:pPr>
            <w:r/>
            <w:r>
              <w:rPr>
                <w:color w:val="101820"/>
                <w:sz w:val="18"/>
              </w:rPr>
              <w:t>Jmlus</w:t>
              <w:br/>
              <w:t>(Consulting Lead)</w:t>
            </w:r>
          </w:p>
        </w:tc>
        <w:tc>
          <w:tcPr>
            <w:tcW w:type="dxa" w:w="2196"/>
            <w:shd w:fill="D0F0E8" w:val="clear"/>
          </w:tcPr>
          <w:p>
            <w:pPr>
              <w:jc w:val="left"/>
            </w:pPr>
            <w:r/>
            <w:r>
              <w:rPr>
                <w:color w:val="101820"/>
                <w:sz w:val="18"/>
              </w:rPr>
              <w:t>10+ yrs program management; Malawi health sector experience; VillageReach relationship</w:t>
            </w:r>
          </w:p>
        </w:tc>
        <w:tc>
          <w:tcPr>
            <w:tcW w:type="dxa" w:w="2196"/>
            <w:shd w:fill="D0F0E8" w:val="clear"/>
          </w:tcPr>
          <w:p>
            <w:pPr>
              <w:jc w:val="left"/>
            </w:pPr>
            <w:r/>
            <w:r>
              <w:rPr>
                <w:color w:val="101820"/>
                <w:sz w:val="18"/>
              </w:rPr>
              <w:t>30%</w:t>
            </w:r>
          </w:p>
        </w:tc>
      </w:tr>
      <w:tr>
        <w:tc>
          <w:tcPr>
            <w:tcW w:type="dxa" w:w="2196"/>
            <w:shd w:val="clear" w:color="auto" w:fill="F2F5FA"/>
          </w:tcPr>
          <w:p>
            <w:pPr>
              <w:jc w:val="left"/>
            </w:pPr>
            <w:r/>
            <w:r>
              <w:rPr>
                <w:color w:val="101820"/>
                <w:sz w:val="18"/>
              </w:rPr>
              <w:t>Solution Architect</w:t>
            </w:r>
          </w:p>
        </w:tc>
        <w:tc>
          <w:tcPr>
            <w:tcW w:type="dxa" w:w="2196"/>
            <w:shd w:val="clear" w:color="auto" w:fill="F2F5FA"/>
          </w:tcPr>
          <w:p>
            <w:pPr>
              <w:jc w:val="left"/>
            </w:pPr>
            <w:r/>
            <w:r>
              <w:rPr>
                <w:color w:val="101820"/>
                <w:sz w:val="18"/>
              </w:rPr>
              <w:t>Senior Backend Engineer</w:t>
              <w:br/>
              <w:t>(USSD Specialist)</w:t>
            </w:r>
          </w:p>
        </w:tc>
        <w:tc>
          <w:tcPr>
            <w:tcW w:type="dxa" w:w="2196"/>
            <w:shd w:val="clear" w:color="auto" w:fill="F2F5FA"/>
          </w:tcPr>
          <w:p>
            <w:pPr>
              <w:jc w:val="left"/>
            </w:pPr>
            <w:r/>
            <w:r>
              <w:rPr>
                <w:color w:val="101820"/>
                <w:sz w:val="18"/>
              </w:rPr>
              <w:t>USSD gateway integrations (Airtel, TNM); REST API design; constraint-based architecture</w:t>
            </w:r>
          </w:p>
        </w:tc>
        <w:tc>
          <w:tcPr>
            <w:tcW w:type="dxa" w:w="2196"/>
            <w:shd w:val="clear" w:color="auto" w:fill="F2F5FA"/>
          </w:tcPr>
          <w:p>
            <w:pPr>
              <w:jc w:val="left"/>
            </w:pPr>
            <w:r/>
            <w:r>
              <w:rPr>
                <w:color w:val="101820"/>
                <w:sz w:val="18"/>
              </w:rPr>
              <w:t>25%</w:t>
            </w:r>
          </w:p>
        </w:tc>
      </w:tr>
      <w:tr>
        <w:tc>
          <w:tcPr>
            <w:tcW w:type="dxa" w:w="2196"/>
          </w:tcPr>
          <w:p>
            <w:pPr>
              <w:jc w:val="left"/>
            </w:pPr>
            <w:r/>
            <w:r>
              <w:rPr>
                <w:color w:val="101820"/>
                <w:sz w:val="18"/>
              </w:rPr>
              <w:t>Mobile Developer</w:t>
            </w:r>
          </w:p>
        </w:tc>
        <w:tc>
          <w:tcPr>
            <w:tcW w:type="dxa" w:w="2196"/>
          </w:tcPr>
          <w:p>
            <w:pPr>
              <w:jc w:val="left"/>
            </w:pPr>
            <w:r/>
            <w:r>
              <w:rPr>
                <w:color w:val="101820"/>
                <w:sz w:val="18"/>
              </w:rPr>
              <w:t>Mobile Developer</w:t>
              <w:br/>
              <w:t>(USSD Developer)</w:t>
            </w:r>
          </w:p>
        </w:tc>
        <w:tc>
          <w:tcPr>
            <w:tcW w:type="dxa" w:w="2196"/>
          </w:tcPr>
          <w:p>
            <w:pPr>
              <w:jc w:val="left"/>
            </w:pPr>
            <w:r/>
            <w:r>
              <w:rPr>
                <w:color w:val="101820"/>
                <w:sz w:val="18"/>
              </w:rPr>
              <w:t>USSD application development; Chichewa content systems; low-bandwidth optimization</w:t>
            </w:r>
          </w:p>
        </w:tc>
        <w:tc>
          <w:tcPr>
            <w:tcW w:type="dxa" w:w="2196"/>
          </w:tcPr>
          <w:p>
            <w:pPr>
              <w:jc w:val="left"/>
            </w:pPr>
            <w:r/>
            <w:r>
              <w:rPr>
                <w:color w:val="101820"/>
                <w:sz w:val="18"/>
              </w:rPr>
              <w:t>40%</w:t>
            </w:r>
          </w:p>
        </w:tc>
      </w:tr>
      <w:tr>
        <w:tc>
          <w:tcPr>
            <w:tcW w:type="dxa" w:w="2196"/>
            <w:shd w:val="clear" w:color="auto" w:fill="F2F5FA"/>
          </w:tcPr>
          <w:p>
            <w:pPr>
              <w:jc w:val="left"/>
            </w:pPr>
            <w:r/>
            <w:r>
              <w:rPr>
                <w:color w:val="101820"/>
                <w:sz w:val="18"/>
              </w:rPr>
              <w:t>Integration Engineer</w:t>
            </w:r>
          </w:p>
        </w:tc>
        <w:tc>
          <w:tcPr>
            <w:tcW w:type="dxa" w:w="2196"/>
            <w:shd w:val="clear" w:color="auto" w:fill="F2F5FA"/>
          </w:tcPr>
          <w:p>
            <w:pPr>
              <w:jc w:val="left"/>
            </w:pPr>
            <w:r/>
            <w:r>
              <w:rPr>
                <w:color w:val="101820"/>
                <w:sz w:val="18"/>
              </w:rPr>
              <w:t>Integration Engineer</w:t>
              <w:br/>
              <w:t>(API Specialist)</w:t>
            </w:r>
          </w:p>
        </w:tc>
        <w:tc>
          <w:tcPr>
            <w:tcW w:type="dxa" w:w="2196"/>
            <w:shd w:val="clear" w:color="auto" w:fill="F2F5FA"/>
          </w:tcPr>
          <w:p>
            <w:pPr>
              <w:jc w:val="left"/>
            </w:pPr>
            <w:r/>
            <w:r>
              <w:rPr>
                <w:color w:val="101820"/>
                <w:sz w:val="18"/>
              </w:rPr>
              <w:t>REST API pipelines; monitoring system integration; data quality frameworks</w:t>
            </w:r>
          </w:p>
        </w:tc>
        <w:tc>
          <w:tcPr>
            <w:tcW w:type="dxa" w:w="2196"/>
            <w:shd w:val="clear" w:color="auto" w:fill="F2F5FA"/>
          </w:tcPr>
          <w:p>
            <w:pPr>
              <w:jc w:val="left"/>
            </w:pPr>
            <w:r/>
            <w:r>
              <w:rPr>
                <w:color w:val="101820"/>
                <w:sz w:val="18"/>
              </w:rPr>
              <w:t>20%</w:t>
            </w:r>
          </w:p>
        </w:tc>
      </w:tr>
      <w:tr>
        <w:tc>
          <w:tcPr>
            <w:tcW w:type="dxa" w:w="2196"/>
          </w:tcPr>
          <w:p>
            <w:pPr>
              <w:jc w:val="left"/>
            </w:pPr>
            <w:r/>
            <w:r>
              <w:rPr>
                <w:color w:val="101820"/>
                <w:sz w:val="18"/>
              </w:rPr>
              <w:t>UX Research Lead</w:t>
            </w:r>
          </w:p>
        </w:tc>
        <w:tc>
          <w:tcPr>
            <w:tcW w:type="dxa" w:w="2196"/>
          </w:tcPr>
          <w:p>
            <w:pPr>
              <w:jc w:val="left"/>
            </w:pPr>
            <w:r/>
            <w:r>
              <w:rPr>
                <w:color w:val="101820"/>
                <w:sz w:val="18"/>
              </w:rPr>
              <w:t>UX Research Lead</w:t>
              <w:br/>
              <w:t>(Low-Literacy Specialist)</w:t>
            </w:r>
          </w:p>
        </w:tc>
        <w:tc>
          <w:tcPr>
            <w:tcW w:type="dxa" w:w="2196"/>
          </w:tcPr>
          <w:p>
            <w:pPr>
              <w:jc w:val="left"/>
            </w:pPr>
            <w:r/>
            <w:r>
              <w:rPr>
                <w:color w:val="101820"/>
                <w:sz w:val="18"/>
              </w:rPr>
              <w:t>User research in Malawi; low-literacy interface design; Chichewa UX validation</w:t>
            </w:r>
          </w:p>
        </w:tc>
        <w:tc>
          <w:tcPr>
            <w:tcW w:type="dxa" w:w="2196"/>
          </w:tcPr>
          <w:p>
            <w:pPr>
              <w:jc w:val="left"/>
            </w:pPr>
            <w:r/>
            <w:r>
              <w:rPr>
                <w:color w:val="101820"/>
                <w:sz w:val="18"/>
              </w:rPr>
              <w:t>15%</w:t>
            </w:r>
          </w:p>
        </w:tc>
      </w:tr>
      <w:tr>
        <w:tc>
          <w:tcPr>
            <w:tcW w:type="dxa" w:w="2196"/>
            <w:shd w:val="clear" w:color="auto" w:fill="F2F5FA"/>
          </w:tcPr>
          <w:p>
            <w:pPr>
              <w:jc w:val="left"/>
            </w:pPr>
            <w:r/>
            <w:r>
              <w:rPr>
                <w:color w:val="101820"/>
                <w:sz w:val="18"/>
              </w:rPr>
              <w:t>Data Privacy Officer</w:t>
            </w:r>
          </w:p>
        </w:tc>
        <w:tc>
          <w:tcPr>
            <w:tcW w:type="dxa" w:w="2196"/>
            <w:shd w:val="clear" w:color="auto" w:fill="F2F5FA"/>
          </w:tcPr>
          <w:p>
            <w:pPr>
              <w:jc w:val="left"/>
            </w:pPr>
            <w:r/>
            <w:r>
              <w:rPr>
                <w:color w:val="101820"/>
                <w:sz w:val="18"/>
              </w:rPr>
              <w:t>Data Privacy Officer</w:t>
              <w:br/>
              <w:t>(Compliance)</w:t>
            </w:r>
          </w:p>
        </w:tc>
        <w:tc>
          <w:tcPr>
            <w:tcW w:type="dxa" w:w="2196"/>
            <w:shd w:val="clear" w:color="auto" w:fill="F2F5FA"/>
          </w:tcPr>
          <w:p>
            <w:pPr>
              <w:jc w:val="left"/>
            </w:pPr>
            <w:r/>
            <w:r>
              <w:rPr>
                <w:color w:val="101820"/>
                <w:sz w:val="18"/>
              </w:rPr>
              <w:t>GDPR/NDPR compliance; health data protection; VillageReach data governance</w:t>
            </w:r>
          </w:p>
        </w:tc>
        <w:tc>
          <w:tcPr>
            <w:tcW w:type="dxa" w:w="2196"/>
            <w:shd w:val="clear" w:color="auto" w:fill="F2F5FA"/>
          </w:tcPr>
          <w:p>
            <w:pPr>
              <w:jc w:val="left"/>
            </w:pPr>
            <w:r/>
            <w:r>
              <w:rPr>
                <w:color w:val="101820"/>
                <w:sz w:val="18"/>
              </w:rPr>
              <w:t>10%</w:t>
            </w:r>
          </w:p>
        </w:tc>
      </w:tr>
      <w:tr>
        <w:tc>
          <w:tcPr>
            <w:tcW w:type="dxa" w:w="2196"/>
          </w:tcPr>
          <w:p>
            <w:pPr>
              <w:jc w:val="left"/>
            </w:pPr>
            <w:r/>
            <w:r>
              <w:rPr>
                <w:color w:val="101820"/>
                <w:sz w:val="18"/>
              </w:rPr>
              <w:t>QA Engineer</w:t>
            </w:r>
          </w:p>
        </w:tc>
        <w:tc>
          <w:tcPr>
            <w:tcW w:type="dxa" w:w="2196"/>
          </w:tcPr>
          <w:p>
            <w:pPr>
              <w:jc w:val="left"/>
            </w:pPr>
            <w:r/>
            <w:r>
              <w:rPr>
                <w:color w:val="101820"/>
                <w:sz w:val="18"/>
              </w:rPr>
              <w:t>QA Engineer</w:t>
              <w:br/>
              <w:t>(Test Lead)</w:t>
            </w:r>
          </w:p>
        </w:tc>
        <w:tc>
          <w:tcPr>
            <w:tcW w:type="dxa" w:w="2196"/>
          </w:tcPr>
          <w:p>
            <w:pPr>
              <w:jc w:val="left"/>
            </w:pPr>
            <w:r/>
            <w:r>
              <w:rPr>
                <w:color w:val="101820"/>
                <w:sz w:val="18"/>
              </w:rPr>
              <w:t>USSD functional testing; UAT coordination; performance load testing</w:t>
            </w:r>
          </w:p>
        </w:tc>
        <w:tc>
          <w:tcPr>
            <w:tcW w:type="dxa" w:w="2196"/>
          </w:tcPr>
          <w:p>
            <w:pPr>
              <w:jc w:val="left"/>
            </w:pPr>
            <w:r/>
            <w:r>
              <w:rPr>
                <w:color w:val="101820"/>
                <w:sz w:val="18"/>
              </w:rPr>
              <w:t>20%</w:t>
            </w:r>
          </w:p>
        </w:tc>
      </w:tr>
      <w:tr>
        <w:tc>
          <w:tcPr>
            <w:tcW w:type="dxa" w:w="2196"/>
            <w:shd w:val="clear" w:color="auto" w:fill="F2F5FA"/>
          </w:tcPr>
          <w:p>
            <w:pPr>
              <w:jc w:val="left"/>
            </w:pPr>
            <w:r/>
            <w:r>
              <w:rPr>
                <w:color w:val="101820"/>
                <w:sz w:val="18"/>
              </w:rPr>
              <w:t>Financial Analyst</w:t>
            </w:r>
          </w:p>
        </w:tc>
        <w:tc>
          <w:tcPr>
            <w:tcW w:type="dxa" w:w="2196"/>
            <w:shd w:val="clear" w:color="auto" w:fill="F2F5FA"/>
          </w:tcPr>
          <w:p>
            <w:pPr>
              <w:jc w:val="left"/>
            </w:pPr>
            <w:r/>
            <w:r>
              <w:rPr>
                <w:color w:val="101820"/>
                <w:sz w:val="18"/>
              </w:rPr>
              <w:t>Financial Analyst</w:t>
              <w:br/>
              <w:t>(Budget Lead)</w:t>
            </w:r>
          </w:p>
        </w:tc>
        <w:tc>
          <w:tcPr>
            <w:tcW w:type="dxa" w:w="2196"/>
            <w:shd w:val="clear" w:color="auto" w:fill="F2F5FA"/>
          </w:tcPr>
          <w:p>
            <w:pPr>
              <w:jc w:val="left"/>
            </w:pPr>
            <w:r/>
            <w:r>
              <w:rPr>
                <w:color w:val="101820"/>
                <w:sz w:val="18"/>
              </w:rPr>
              <w:t>NGO budgeting; USD/MWK forecasting; milestone-based financial tracking</w:t>
            </w:r>
          </w:p>
        </w:tc>
        <w:tc>
          <w:tcPr>
            <w:tcW w:type="dxa" w:w="2196"/>
            <w:shd w:val="clear" w:color="auto" w:fill="F2F5FA"/>
          </w:tcPr>
          <w:p>
            <w:pPr>
              <w:jc w:val="left"/>
            </w:pPr>
            <w:r/>
            <w:r>
              <w:rPr>
                <w:color w:val="101820"/>
                <w:sz w:val="18"/>
              </w:rPr>
              <w:t>5%</w:t>
            </w:r>
          </w:p>
        </w:tc>
      </w:tr>
      <w:tr>
        <w:tc>
          <w:tcPr>
            <w:tcW w:type="dxa" w:w="2196"/>
          </w:tcPr>
          <w:p>
            <w:pPr>
              <w:jc w:val="left"/>
            </w:pPr>
            <w:r/>
            <w:r>
              <w:rPr>
                <w:color w:val="101820"/>
                <w:sz w:val="18"/>
              </w:rPr>
              <w:t>Document Designer</w:t>
            </w:r>
          </w:p>
        </w:tc>
        <w:tc>
          <w:tcPr>
            <w:tcW w:type="dxa" w:w="2196"/>
          </w:tcPr>
          <w:p>
            <w:pPr>
              <w:jc w:val="left"/>
            </w:pPr>
            <w:r/>
            <w:r>
              <w:rPr>
                <w:color w:val="101820"/>
                <w:sz w:val="18"/>
              </w:rPr>
              <w:t>Document Designer</w:t>
              <w:br/>
              <w:t>(Deliverables)</w:t>
            </w:r>
          </w:p>
        </w:tc>
        <w:tc>
          <w:tcPr>
            <w:tcW w:type="dxa" w:w="2196"/>
          </w:tcPr>
          <w:p>
            <w:pPr>
              <w:jc w:val="left"/>
            </w:pPr>
            <w:r/>
            <w:r>
              <w:rPr>
                <w:color w:val="101820"/>
                <w:sz w:val="18"/>
              </w:rPr>
              <w:t>Proposal and report design; training documentation; handover materials</w:t>
            </w:r>
          </w:p>
        </w:tc>
        <w:tc>
          <w:tcPr>
            <w:tcW w:type="dxa" w:w="2196"/>
          </w:tcPr>
          <w:p>
            <w:pPr>
              <w:jc w:val="left"/>
            </w:pPr>
            <w:r/>
            <w:r>
              <w:rPr>
                <w:color w:val="101820"/>
                <w:sz w:val="18"/>
              </w:rPr>
              <w:t>10%</w:t>
            </w:r>
          </w:p>
        </w:tc>
      </w:tr>
      <w:tr>
        <w:tc>
          <w:tcPr>
            <w:tcW w:type="dxa" w:w="2196"/>
            <w:shd w:val="clear" w:color="auto" w:fill="F2F5FA"/>
          </w:tcPr>
          <w:p>
            <w:pPr>
              <w:jc w:val="left"/>
            </w:pPr>
            <w:r/>
            <w:r>
              <w:rPr>
                <w:color w:val="101820"/>
                <w:sz w:val="18"/>
              </w:rPr>
              <w:t>Business Developer</w:t>
            </w:r>
          </w:p>
        </w:tc>
        <w:tc>
          <w:tcPr>
            <w:tcW w:type="dxa" w:w="2196"/>
            <w:shd w:val="clear" w:color="auto" w:fill="F2F5FA"/>
          </w:tcPr>
          <w:p>
            <w:pPr>
              <w:jc w:val="left"/>
            </w:pPr>
            <w:r/>
            <w:r>
              <w:rPr>
                <w:color w:val="101820"/>
                <w:sz w:val="18"/>
              </w:rPr>
              <w:t>Business Developer</w:t>
              <w:br/>
              <w:t>(Client Relations)</w:t>
            </w:r>
          </w:p>
        </w:tc>
        <w:tc>
          <w:tcPr>
            <w:tcW w:type="dxa" w:w="2196"/>
            <w:shd w:val="clear" w:color="auto" w:fill="F2F5FA"/>
          </w:tcPr>
          <w:p>
            <w:pPr>
              <w:jc w:val="left"/>
            </w:pPr>
            <w:r/>
            <w:r>
              <w:rPr>
                <w:color w:val="101820"/>
                <w:sz w:val="18"/>
              </w:rPr>
              <w:t>VillageReach engagement management; Oxfam Canada liaison; stakeholder coordination</w:t>
            </w:r>
          </w:p>
        </w:tc>
        <w:tc>
          <w:tcPr>
            <w:tcW w:type="dxa" w:w="2196"/>
            <w:shd w:val="clear" w:color="auto" w:fill="F2F5FA"/>
          </w:tcPr>
          <w:p>
            <w:pPr>
              <w:jc w:val="left"/>
            </w:pPr>
            <w:r/>
            <w:r>
              <w:rPr>
                <w:color w:val="101820"/>
                <w:sz w:val="18"/>
              </w:rPr>
              <w:t>5%</w:t>
            </w:r>
          </w:p>
        </w:tc>
      </w:tr>
    </w:tbl>
    <w:p>
      <w:r>
        <w:br w:type="page"/>
      </w:r>
    </w:p>
    <w:p>
      <w:pPr>
        <w:ind w:left="360"/>
      </w:pPr>
      <w:r>
        <w:t>6. Project Timeline &amp; Milestones</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1756"/>
        <w:gridCol w:w="1756"/>
        <w:gridCol w:w="1756"/>
        <w:gridCol w:w="1756"/>
        <w:gridCol w:w="1756"/>
      </w:tblGrid>
      <w:tr>
        <w:trPr>
          <w:tblHeader/>
        </w:trPr>
        <w:tc>
          <w:tcPr>
            <w:tcW w:type="dxa" w:w="1756"/>
            <w:shd w:fill="070A40" w:val="clear" w:color="auto"/>
            <w:vAlign w:val="center"/>
          </w:tcPr>
          <w:p>
            <w:pPr>
              <w:jc w:val="center"/>
            </w:pPr>
            <w:r>
              <w:rPr>
                <w:b/>
                <w:color w:val="FFFFFF"/>
              </w:rPr>
            </w:r>
            <w:r>
              <w:rPr>
                <w:b/>
                <w:color w:val="FFFFFF"/>
                <w:sz w:val="18"/>
              </w:rPr>
              <w:t>Phase</w:t>
            </w:r>
          </w:p>
        </w:tc>
        <w:tc>
          <w:tcPr>
            <w:tcW w:type="dxa" w:w="1756"/>
            <w:shd w:fill="070A40" w:val="clear" w:color="auto"/>
            <w:vAlign w:val="center"/>
          </w:tcPr>
          <w:p>
            <w:pPr>
              <w:jc w:val="center"/>
            </w:pPr>
            <w:r>
              <w:rPr>
                <w:b/>
                <w:color w:val="FFFFFF"/>
              </w:rPr>
            </w:r>
            <w:r>
              <w:rPr>
                <w:b/>
                <w:color w:val="FFFFFF"/>
                <w:sz w:val="18"/>
              </w:rPr>
              <w:t>Duration</w:t>
            </w:r>
          </w:p>
        </w:tc>
        <w:tc>
          <w:tcPr>
            <w:tcW w:type="dxa" w:w="1756"/>
            <w:shd w:fill="070A40" w:val="clear" w:color="auto"/>
            <w:vAlign w:val="center"/>
          </w:tcPr>
          <w:p>
            <w:pPr>
              <w:jc w:val="center"/>
            </w:pPr>
            <w:r>
              <w:rPr>
                <w:b/>
                <w:color w:val="FFFFFF"/>
              </w:rPr>
            </w:r>
            <w:r>
              <w:rPr>
                <w:b/>
                <w:color w:val="FFFFFF"/>
                <w:sz w:val="18"/>
              </w:rPr>
              <w:t>Key Activities</w:t>
            </w:r>
          </w:p>
        </w:tc>
        <w:tc>
          <w:tcPr>
            <w:tcW w:type="dxa" w:w="1756"/>
            <w:shd w:fill="070A40" w:val="clear" w:color="auto"/>
            <w:vAlign w:val="center"/>
          </w:tcPr>
          <w:p>
            <w:pPr>
              <w:jc w:val="center"/>
            </w:pPr>
            <w:r>
              <w:rPr>
                <w:b/>
                <w:color w:val="FFFFFF"/>
              </w:rPr>
            </w:r>
            <w:r>
              <w:rPr>
                <w:b/>
                <w:color w:val="FFFFFF"/>
                <w:sz w:val="18"/>
              </w:rPr>
              <w:t>Deliverable</w:t>
            </w:r>
          </w:p>
        </w:tc>
        <w:tc>
          <w:tcPr>
            <w:tcW w:type="dxa" w:w="1756"/>
            <w:shd w:fill="070A40" w:val="clear" w:color="auto"/>
            <w:vAlign w:val="center"/>
          </w:tcPr>
          <w:p>
            <w:pPr>
              <w:jc w:val="center"/>
            </w:pPr>
            <w:r>
              <w:rPr>
                <w:b/>
                <w:color w:val="FFFFFF"/>
              </w:rPr>
            </w:r>
            <w:r>
              <w:rPr>
                <w:b/>
                <w:color w:val="FFFFFF"/>
                <w:sz w:val="18"/>
              </w:rPr>
              <w:t>Payment Trigger</w:t>
            </w:r>
          </w:p>
        </w:tc>
      </w:tr>
      <w:tr>
        <w:tc>
          <w:tcPr>
            <w:tcW w:type="dxa" w:w="1756"/>
          </w:tcPr>
          <w:p>
            <w:pPr>
              <w:jc w:val="left"/>
            </w:pPr>
            <w:r/>
            <w:r>
              <w:rPr>
                <w:color w:val="101820"/>
                <w:sz w:val="18"/>
              </w:rPr>
              <w:t>Phase 1: Discovery &amp; Design</w:t>
            </w:r>
          </w:p>
        </w:tc>
        <w:tc>
          <w:tcPr>
            <w:tcW w:type="dxa" w:w="1756"/>
          </w:tcPr>
          <w:p>
            <w:pPr>
              <w:jc w:val="left"/>
            </w:pPr>
            <w:r/>
            <w:r>
              <w:rPr>
                <w:color w:val="101820"/>
                <w:sz w:val="18"/>
              </w:rPr>
              <w:t>Week 1</w:t>
              <w:br/>
              <w:t>(5 days)</w:t>
            </w:r>
          </w:p>
        </w:tc>
        <w:tc>
          <w:tcPr>
            <w:tcW w:type="dxa" w:w="1756"/>
          </w:tcPr>
          <w:p>
            <w:pPr>
              <w:jc w:val="left"/>
            </w:pPr>
            <w:r/>
            <w:r>
              <w:rPr>
                <w:color w:val="101820"/>
                <w:sz w:val="18"/>
              </w:rPr>
              <w:t>Stakeholder interviews</w:t>
              <w:br/>
              <w:t>Content architecture</w:t>
              <w:br/>
              <w:t>Wireframe development</w:t>
              <w:br/>
              <w:t>Technical architecture</w:t>
            </w:r>
          </w:p>
        </w:tc>
        <w:tc>
          <w:tcPr>
            <w:tcW w:type="dxa" w:w="1756"/>
          </w:tcPr>
          <w:p>
            <w:pPr>
              <w:jc w:val="left"/>
            </w:pPr>
            <w:r/>
            <w:r>
              <w:rPr>
                <w:color w:val="101820"/>
                <w:sz w:val="18"/>
              </w:rPr>
              <w:t>Approved wireframes</w:t>
              <w:br/>
              <w:t>Technical design doc</w:t>
            </w:r>
          </w:p>
        </w:tc>
        <w:tc>
          <w:tcPr>
            <w:tcW w:type="dxa" w:w="1756"/>
          </w:tcPr>
          <w:p>
            <w:pPr>
              <w:jc w:val="left"/>
            </w:pPr>
            <w:r/>
            <w:r>
              <w:rPr>
                <w:color w:val="101820"/>
                <w:sz w:val="18"/>
              </w:rPr>
              <w:t>—</w:t>
            </w:r>
          </w:p>
        </w:tc>
      </w:tr>
      <w:tr>
        <w:tc>
          <w:tcPr>
            <w:tcW w:type="dxa" w:w="1756"/>
            <w:shd w:val="clear" w:color="auto" w:fill="F2F5FA"/>
          </w:tcPr>
          <w:p>
            <w:pPr>
              <w:jc w:val="left"/>
            </w:pPr>
            <w:r/>
            <w:r>
              <w:rPr>
                <w:color w:val="101820"/>
                <w:sz w:val="18"/>
              </w:rPr>
              <w:t>Phase 2: Build &amp; Test</w:t>
            </w:r>
          </w:p>
        </w:tc>
        <w:tc>
          <w:tcPr>
            <w:tcW w:type="dxa" w:w="1756"/>
            <w:shd w:val="clear" w:color="auto" w:fill="F2F5FA"/>
          </w:tcPr>
          <w:p>
            <w:pPr>
              <w:jc w:val="left"/>
            </w:pPr>
            <w:r/>
            <w:r>
              <w:rPr>
                <w:color w:val="101820"/>
                <w:sz w:val="18"/>
              </w:rPr>
              <w:t>Weeks 2–3</w:t>
              <w:br/>
              <w:t>(10 days)</w:t>
            </w:r>
          </w:p>
        </w:tc>
        <w:tc>
          <w:tcPr>
            <w:tcW w:type="dxa" w:w="1756"/>
            <w:shd w:val="clear" w:color="auto" w:fill="F2F5FA"/>
          </w:tcPr>
          <w:p>
            <w:pPr>
              <w:jc w:val="left"/>
            </w:pPr>
            <w:r/>
            <w:r>
              <w:rPr>
                <w:color w:val="101820"/>
                <w:sz w:val="18"/>
              </w:rPr>
              <w:t>USSD application development</w:t>
              <w:br/>
              <w:t>REST API implementation</w:t>
              <w:br/>
              <w:t>Internal QA</w:t>
              <w:br/>
              <w:t>Performance testing</w:t>
            </w:r>
          </w:p>
        </w:tc>
        <w:tc>
          <w:tcPr>
            <w:tcW w:type="dxa" w:w="1756"/>
            <w:shd w:val="clear" w:color="auto" w:fill="F2F5FA"/>
          </w:tcPr>
          <w:p>
            <w:pPr>
              <w:jc w:val="left"/>
            </w:pPr>
            <w:r/>
            <w:r>
              <w:rPr>
                <w:color w:val="101820"/>
                <w:sz w:val="18"/>
              </w:rPr>
              <w:t>Tested USSD application</w:t>
              <w:br/>
              <w:t>API endpoints ready</w:t>
            </w:r>
          </w:p>
        </w:tc>
        <w:tc>
          <w:tcPr>
            <w:tcW w:type="dxa" w:w="1756"/>
            <w:shd w:val="clear" w:color="auto" w:fill="F2F5FA"/>
          </w:tcPr>
          <w:p>
            <w:pPr>
              <w:jc w:val="left"/>
            </w:pPr>
            <w:r/>
            <w:r>
              <w:rPr>
                <w:color w:val="101820"/>
                <w:sz w:val="18"/>
              </w:rPr>
              <w:t>—</w:t>
            </w:r>
          </w:p>
        </w:tc>
      </w:tr>
      <w:tr>
        <w:tc>
          <w:tcPr>
            <w:tcW w:type="dxa" w:w="1756"/>
          </w:tcPr>
          <w:p>
            <w:pPr>
              <w:jc w:val="left"/>
            </w:pPr>
            <w:r/>
            <w:r>
              <w:rPr>
                <w:color w:val="101820"/>
                <w:sz w:val="18"/>
              </w:rPr>
              <w:t>Phase 3: UAT &amp; Launch</w:t>
            </w:r>
          </w:p>
        </w:tc>
        <w:tc>
          <w:tcPr>
            <w:tcW w:type="dxa" w:w="1756"/>
          </w:tcPr>
          <w:p>
            <w:pPr>
              <w:jc w:val="left"/>
            </w:pPr>
            <w:r/>
            <w:r>
              <w:rPr>
                <w:color w:val="101820"/>
                <w:sz w:val="18"/>
              </w:rPr>
              <w:t>Week 4</w:t>
              <w:br/>
              <w:t>(5 days)</w:t>
            </w:r>
          </w:p>
        </w:tc>
        <w:tc>
          <w:tcPr>
            <w:tcW w:type="dxa" w:w="1756"/>
          </w:tcPr>
          <w:p>
            <w:pPr>
              <w:jc w:val="left"/>
            </w:pPr>
            <w:r/>
            <w:r>
              <w:rPr>
                <w:color w:val="101820"/>
                <w:sz w:val="18"/>
              </w:rPr>
              <w:t>UAT with 20+ users</w:t>
              <w:br/>
              <w:t>Iterative refinement</w:t>
              <w:br/>
              <w:t>Production deployment</w:t>
              <w:br/>
              <w:t>Go-live monitoring</w:t>
            </w:r>
          </w:p>
        </w:tc>
        <w:tc>
          <w:tcPr>
            <w:tcW w:type="dxa" w:w="1756"/>
          </w:tcPr>
          <w:p>
            <w:pPr>
              <w:jc w:val="left"/>
            </w:pPr>
            <w:r/>
            <w:r>
              <w:rPr>
                <w:color w:val="101820"/>
                <w:sz w:val="18"/>
              </w:rPr>
              <w:t>Live on 54747</w:t>
              <w:br/>
              <w:t>UAT sign-off</w:t>
            </w:r>
          </w:p>
        </w:tc>
        <w:tc>
          <w:tcPr>
            <w:tcW w:type="dxa" w:w="1756"/>
          </w:tcPr>
          <w:p>
            <w:pPr>
              <w:jc w:val="left"/>
            </w:pPr>
            <w:r/>
            <w:r>
              <w:rPr>
                <w:color w:val="101820"/>
                <w:sz w:val="18"/>
              </w:rPr>
              <w:t>—</w:t>
            </w:r>
          </w:p>
        </w:tc>
      </w:tr>
      <w:tr>
        <w:tc>
          <w:tcPr>
            <w:tcW w:type="dxa" w:w="1756"/>
            <w:shd w:fill="F2F5FA" w:val="clear" w:color="auto"/>
          </w:tcPr>
          <w:p>
            <w:pPr>
              <w:jc w:val="left"/>
            </w:pPr>
            <w:r/>
            <w:r>
              <w:rPr>
                <w:color w:val="101820"/>
                <w:sz w:val="18"/>
              </w:rPr>
              <w:t>Phase 4: Maintenance</w:t>
            </w:r>
          </w:p>
        </w:tc>
        <w:tc>
          <w:tcPr>
            <w:tcW w:type="dxa" w:w="1756"/>
            <w:shd w:fill="F2F5FA" w:val="clear" w:color="auto"/>
          </w:tcPr>
          <w:p>
            <w:pPr>
              <w:jc w:val="left"/>
            </w:pPr>
            <w:r/>
            <w:r>
              <w:rPr>
                <w:color w:val="101820"/>
                <w:sz w:val="18"/>
              </w:rPr>
              <w:t>Months 2–24</w:t>
              <w:br/>
              <w:t>(23 months)</w:t>
            </w:r>
          </w:p>
        </w:tc>
        <w:tc>
          <w:tcPr>
            <w:tcW w:type="dxa" w:w="1756"/>
            <w:shd w:fill="F2F5FA" w:val="clear" w:color="auto"/>
          </w:tcPr>
          <w:p>
            <w:pPr>
              <w:jc w:val="left"/>
            </w:pPr>
            <w:r/>
            <w:r>
              <w:rPr>
                <w:color w:val="101820"/>
                <w:sz w:val="18"/>
              </w:rPr>
              <w:t>Monthly uptime reports</w:t>
              <w:br/>
              <w:t>Content updates</w:t>
              <w:br/>
              <w:t>Bug fixes</w:t>
              <w:br/>
              <w:t>Data pipeline monitoring</w:t>
              <w:br/>
              <w:t>Completion report</w:t>
            </w:r>
          </w:p>
        </w:tc>
        <w:tc>
          <w:tcPr>
            <w:tcW w:type="dxa" w:w="1756"/>
            <w:shd w:fill="F2F5FA" w:val="clear" w:color="auto"/>
          </w:tcPr>
          <w:p>
            <w:pPr>
              <w:jc w:val="left"/>
            </w:pPr>
            <w:r/>
            <w:r>
              <w:rPr>
                <w:color w:val="101820"/>
                <w:sz w:val="18"/>
              </w:rPr>
              <w:t>Monthly reports</w:t>
              <w:br/>
              <w:t>Completion report</w:t>
            </w:r>
          </w:p>
        </w:tc>
        <w:tc>
          <w:tcPr>
            <w:tcW w:type="dxa" w:w="1756"/>
            <w:shd w:fill="F2F5FA" w:val="clear" w:color="auto"/>
          </w:tcPr>
          <w:p>
            <w:pPr>
              <w:jc w:val="left"/>
            </w:pPr>
            <w:r/>
            <w:r>
              <w:rPr>
                <w:color w:val="101820"/>
                <w:sz w:val="18"/>
              </w:rPr>
              <w:t>Monthly</w:t>
            </w:r>
          </w:p>
        </w:tc>
      </w:tr>
    </w:tbl>
    <w:p>
      <w:pPr/>
      <w:r/>
    </w:p>
    <w:p>
      <w:pPr>
        <w:ind w:left="360"/>
      </w:pPr>
      <w:r>
        <w:t>Milestone Summary</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928"/>
        <w:gridCol w:w="2928"/>
        <w:gridCol w:w="2928"/>
      </w:tblGrid>
      <w:tr>
        <w:trPr>
          <w:tblHeader/>
        </w:trPr>
        <w:tc>
          <w:tcPr>
            <w:tcW w:type="dxa" w:w="2928"/>
            <w:shd w:fill="070A40" w:val="clear" w:color="auto"/>
            <w:vAlign w:val="center"/>
          </w:tcPr>
          <w:p>
            <w:pPr>
              <w:jc w:val="center"/>
            </w:pPr>
            <w:r>
              <w:rPr>
                <w:b/>
                <w:color w:val="FFFFFF"/>
              </w:rPr>
            </w:r>
            <w:r>
              <w:rPr>
                <w:b/>
                <w:color w:val="FFFFFF"/>
                <w:sz w:val="18"/>
              </w:rPr>
              <w:t>Milestone</w:t>
            </w:r>
          </w:p>
        </w:tc>
        <w:tc>
          <w:tcPr>
            <w:tcW w:type="dxa" w:w="2928"/>
            <w:shd w:fill="070A40" w:val="clear" w:color="auto"/>
            <w:vAlign w:val="center"/>
          </w:tcPr>
          <w:p>
            <w:pPr>
              <w:jc w:val="center"/>
            </w:pPr>
            <w:r>
              <w:rPr>
                <w:b/>
                <w:color w:val="FFFFFF"/>
              </w:rPr>
            </w:r>
            <w:r>
              <w:rPr>
                <w:b/>
                <w:color w:val="FFFFFF"/>
                <w:sz w:val="18"/>
              </w:rPr>
              <w:t>Target Date</w:t>
            </w:r>
          </w:p>
        </w:tc>
        <w:tc>
          <w:tcPr>
            <w:tcW w:type="dxa" w:w="2928"/>
            <w:shd w:fill="070A40" w:val="clear" w:color="auto"/>
            <w:vAlign w:val="center"/>
          </w:tcPr>
          <w:p>
            <w:pPr>
              <w:jc w:val="center"/>
            </w:pPr>
            <w:r>
              <w:rPr>
                <w:b/>
                <w:color w:val="FFFFFF"/>
              </w:rPr>
            </w:r>
            <w:r>
              <w:rPr>
                <w:b/>
                <w:color w:val="FFFFFF"/>
                <w:sz w:val="18"/>
              </w:rPr>
              <w:t>Payment (% of Total)</w:t>
            </w:r>
          </w:p>
        </w:tc>
      </w:tr>
      <w:tr>
        <w:tc>
          <w:tcPr>
            <w:tcW w:type="dxa" w:w="2928"/>
            <w:shd w:fill="D0F0E8" w:val="clear"/>
          </w:tcPr>
          <w:p>
            <w:pPr>
              <w:jc w:val="left"/>
            </w:pPr>
            <w:r/>
            <w:r>
              <w:rPr>
                <w:color w:val="101820"/>
                <w:sz w:val="18"/>
              </w:rPr>
              <w:t>Contract Signing</w:t>
            </w:r>
          </w:p>
        </w:tc>
        <w:tc>
          <w:tcPr>
            <w:tcW w:type="dxa" w:w="2928"/>
            <w:shd w:fill="D0F0E8" w:val="clear"/>
          </w:tcPr>
          <w:p>
            <w:pPr>
              <w:jc w:val="left"/>
            </w:pPr>
            <w:r/>
            <w:r>
              <w:rPr>
                <w:color w:val="101820"/>
                <w:sz w:val="18"/>
              </w:rPr>
              <w:t>Day 0</w:t>
            </w:r>
          </w:p>
        </w:tc>
        <w:tc>
          <w:tcPr>
            <w:tcW w:type="dxa" w:w="2928"/>
            <w:shd w:fill="D0F0E8" w:val="clear"/>
          </w:tcPr>
          <w:p>
            <w:pPr>
              <w:jc w:val="left"/>
            </w:pPr>
            <w:r/>
            <w:r>
              <w:rPr>
                <w:color w:val="101820"/>
                <w:sz w:val="18"/>
              </w:rPr>
              <w:t>40% ($18,000)</w:t>
            </w:r>
          </w:p>
        </w:tc>
      </w:tr>
      <w:tr>
        <w:tc>
          <w:tcPr>
            <w:tcW w:type="dxa" w:w="2928"/>
            <w:shd w:fill="F2F5FA" w:val="clear" w:color="auto"/>
          </w:tcPr>
          <w:p>
            <w:pPr>
              <w:jc w:val="left"/>
            </w:pPr>
            <w:r/>
            <w:r>
              <w:rPr>
                <w:color w:val="101820"/>
                <w:sz w:val="18"/>
              </w:rPr>
              <w:t>Go-Live on 54747</w:t>
            </w:r>
          </w:p>
        </w:tc>
        <w:tc>
          <w:tcPr>
            <w:tcW w:type="dxa" w:w="2928"/>
            <w:shd w:fill="F2F5FA" w:val="clear" w:color="auto"/>
          </w:tcPr>
          <w:p>
            <w:pPr>
              <w:jc w:val="left"/>
            </w:pPr>
            <w:r/>
            <w:r>
              <w:rPr>
                <w:color w:val="101820"/>
                <w:sz w:val="18"/>
              </w:rPr>
              <w:t>End of Week 4</w:t>
            </w:r>
          </w:p>
        </w:tc>
        <w:tc>
          <w:tcPr>
            <w:tcW w:type="dxa" w:w="2928"/>
            <w:shd w:fill="F2F5FA" w:val="clear" w:color="auto"/>
          </w:tcPr>
          <w:p>
            <w:pPr>
              <w:jc w:val="left"/>
            </w:pPr>
            <w:r/>
            <w:r>
              <w:rPr>
                <w:color w:val="101820"/>
                <w:sz w:val="18"/>
              </w:rPr>
              <w:t>20% ($9,000)</w:t>
            </w:r>
          </w:p>
        </w:tc>
      </w:tr>
      <w:tr>
        <w:tc>
          <w:tcPr>
            <w:tcW w:type="dxa" w:w="2928"/>
          </w:tcPr>
          <w:p>
            <w:pPr>
              <w:jc w:val="left"/>
            </w:pPr>
            <w:r/>
            <w:r>
              <w:rPr>
                <w:color w:val="101820"/>
                <w:sz w:val="18"/>
              </w:rPr>
              <w:t>Monthly Maintenance</w:t>
            </w:r>
          </w:p>
        </w:tc>
        <w:tc>
          <w:tcPr>
            <w:tcW w:type="dxa" w:w="2928"/>
          </w:tcPr>
          <w:p>
            <w:pPr>
              <w:jc w:val="left"/>
            </w:pPr>
            <w:r/>
            <w:r>
              <w:rPr>
                <w:color w:val="101820"/>
                <w:sz w:val="18"/>
              </w:rPr>
              <w:t>Months 1–24</w:t>
            </w:r>
          </w:p>
        </w:tc>
        <w:tc>
          <w:tcPr>
            <w:tcW w:type="dxa" w:w="2928"/>
          </w:tcPr>
          <w:p>
            <w:pPr>
              <w:jc w:val="left"/>
            </w:pPr>
            <w:r/>
            <w:r>
              <w:rPr>
                <w:color w:val="101820"/>
                <w:sz w:val="18"/>
              </w:rPr>
              <w:t>40% in monthly installments ($750/month)</w:t>
            </w:r>
          </w:p>
        </w:tc>
      </w:tr>
      <w:tr>
        <w:tc>
          <w:tcPr>
            <w:tcW w:type="dxa" w:w="2928"/>
            <w:shd w:val="clear" w:color="auto" w:fill="F2F5FA"/>
          </w:tcPr>
          <w:p>
            <w:pPr>
              <w:jc w:val="left"/>
            </w:pPr>
            <w:r/>
            <w:r>
              <w:rPr>
                <w:color w:val="101820"/>
                <w:sz w:val="18"/>
              </w:rPr>
              <w:t>Engagement Completion</w:t>
            </w:r>
          </w:p>
        </w:tc>
        <w:tc>
          <w:tcPr>
            <w:tcW w:type="dxa" w:w="2928"/>
            <w:shd w:val="clear" w:color="auto" w:fill="F2F5FA"/>
          </w:tcPr>
          <w:p>
            <w:pPr>
              <w:jc w:val="left"/>
            </w:pPr>
            <w:r/>
            <w:r>
              <w:rPr>
                <w:color w:val="101820"/>
                <w:sz w:val="18"/>
              </w:rPr>
              <w:t>Month 24</w:t>
            </w:r>
          </w:p>
        </w:tc>
        <w:tc>
          <w:tcPr>
            <w:tcW w:type="dxa" w:w="2928"/>
            <w:shd w:val="clear" w:color="auto" w:fill="F2F5FA"/>
          </w:tcPr>
          <w:p>
            <w:pPr>
              <w:jc w:val="left"/>
            </w:pPr>
            <w:r/>
            <w:r>
              <w:rPr>
                <w:color w:val="101820"/>
                <w:sz w:val="18"/>
              </w:rPr>
              <w:t>—</w:t>
            </w:r>
          </w:p>
        </w:tc>
      </w:tr>
    </w:tbl>
    <w:p>
      <w:r>
        <w:br w:type="page"/>
      </w:r>
    </w:p>
    <w:p>
      <w:pPr>
        <w:ind w:left="360"/>
      </w:pPr>
      <w:r>
        <w:t>7. Budget &amp; Financial Proposal</w:t>
      </w:r>
    </w:p>
    <w:p>
      <w:pPr>
        <w:ind w:left="360"/>
      </w:pPr>
      <w:r>
        <w:t>The following budget provides transparent, line-item costing for the full 24-month engagement. All figures are in USD. Payment terms are structured to align with VillageReach cash flow: 40% at signing, 20% at go-live, and 40% in monthly installments during the maintenance period.</w:t>
      </w:r>
    </w:p>
    <w:p>
      <w:pPr>
        <w:ind w:left="360"/>
      </w:pPr>
      <w:r>
        <w:t>7.1 Phase 1: Setup &amp; Development (4 weeks)</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1756"/>
        <w:gridCol w:w="1756"/>
        <w:gridCol w:w="1756"/>
        <w:gridCol w:w="1756"/>
        <w:gridCol w:w="1756"/>
      </w:tblGrid>
      <w:tr>
        <w:trPr>
          <w:tblHeader/>
        </w:trPr>
        <w:tc>
          <w:tcPr>
            <w:tcW w:type="dxa" w:w="1756"/>
            <w:shd w:fill="070A40" w:val="clear" w:color="auto"/>
            <w:vAlign w:val="center"/>
          </w:tcPr>
          <w:p>
            <w:pPr>
              <w:jc w:val="center"/>
            </w:pPr>
            <w:r>
              <w:rPr>
                <w:b/>
                <w:color w:val="FFFFFF"/>
              </w:rPr>
            </w:r>
            <w:r>
              <w:rPr>
                <w:b/>
                <w:color w:val="FFFFFF"/>
                <w:sz w:val="18"/>
              </w:rPr>
              <w:t>Line Item</w:t>
            </w:r>
          </w:p>
        </w:tc>
        <w:tc>
          <w:tcPr>
            <w:tcW w:type="dxa" w:w="1756"/>
            <w:shd w:fill="070A40" w:val="clear" w:color="auto"/>
            <w:vAlign w:val="center"/>
          </w:tcPr>
          <w:p>
            <w:pPr>
              <w:jc w:val="center"/>
            </w:pPr>
            <w:r>
              <w:rPr>
                <w:b/>
                <w:color w:val="FFFFFF"/>
              </w:rPr>
            </w:r>
            <w:r>
              <w:rPr>
                <w:b/>
                <w:color w:val="FFFFFF"/>
                <w:sz w:val="18"/>
              </w:rPr>
              <w:t>Role</w:t>
            </w:r>
          </w:p>
        </w:tc>
        <w:tc>
          <w:tcPr>
            <w:tcW w:type="dxa" w:w="1756"/>
            <w:shd w:fill="070A40" w:val="clear" w:color="auto"/>
            <w:vAlign w:val="center"/>
          </w:tcPr>
          <w:p>
            <w:pPr>
              <w:jc w:val="center"/>
            </w:pPr>
            <w:r>
              <w:rPr>
                <w:b/>
                <w:color w:val="FFFFFF"/>
              </w:rPr>
            </w:r>
            <w:r>
              <w:rPr>
                <w:b/>
                <w:color w:val="FFFFFF"/>
                <w:sz w:val="18"/>
              </w:rPr>
              <w:t>Days</w:t>
            </w:r>
          </w:p>
        </w:tc>
        <w:tc>
          <w:tcPr>
            <w:tcW w:type="dxa" w:w="1756"/>
            <w:shd w:fill="070A40" w:val="clear" w:color="auto"/>
            <w:vAlign w:val="center"/>
          </w:tcPr>
          <w:p>
            <w:pPr>
              <w:jc w:val="center"/>
            </w:pPr>
            <w:r>
              <w:rPr>
                <w:b/>
                <w:color w:val="FFFFFF"/>
              </w:rPr>
            </w:r>
            <w:r>
              <w:rPr>
                <w:b/>
                <w:color w:val="FFFFFF"/>
                <w:sz w:val="18"/>
              </w:rPr>
              <w:t>Rate (USD/day)</w:t>
            </w:r>
          </w:p>
        </w:tc>
        <w:tc>
          <w:tcPr>
            <w:tcW w:type="dxa" w:w="1756"/>
            <w:shd w:fill="070A40" w:val="clear" w:color="auto"/>
            <w:vAlign w:val="center"/>
          </w:tcPr>
          <w:p>
            <w:pPr>
              <w:jc w:val="center"/>
            </w:pPr>
            <w:r>
              <w:rPr>
                <w:b/>
                <w:color w:val="FFFFFF"/>
              </w:rPr>
            </w:r>
            <w:r>
              <w:rPr>
                <w:b/>
                <w:color w:val="FFFFFF"/>
                <w:sz w:val="18"/>
              </w:rPr>
              <w:t>Total (USD)</w:t>
            </w:r>
          </w:p>
        </w:tc>
      </w:tr>
      <w:tr>
        <w:tc>
          <w:tcPr>
            <w:tcW w:type="dxa" w:w="1756"/>
          </w:tcPr>
          <w:p>
            <w:pPr>
              <w:jc w:val="left"/>
            </w:pPr>
            <w:r/>
            <w:r>
              <w:rPr>
                <w:color w:val="101820"/>
                <w:sz w:val="18"/>
              </w:rPr>
              <w:t>Requirements gathering &amp; stakeholder interviews</w:t>
            </w:r>
          </w:p>
        </w:tc>
        <w:tc>
          <w:tcPr>
            <w:tcW w:type="dxa" w:w="1756"/>
          </w:tcPr>
          <w:p>
            <w:pPr>
              <w:jc w:val="left"/>
            </w:pPr>
            <w:r/>
            <w:r>
              <w:rPr>
                <w:color w:val="101820"/>
                <w:sz w:val="18"/>
              </w:rPr>
              <w:t>Consulting Lead</w:t>
            </w:r>
          </w:p>
        </w:tc>
        <w:tc>
          <w:tcPr>
            <w:tcW w:type="dxa" w:w="1756"/>
          </w:tcPr>
          <w:p>
            <w:pPr>
              <w:jc w:val="left"/>
            </w:pPr>
            <w:r/>
            <w:r>
              <w:rPr>
                <w:color w:val="101820"/>
                <w:sz w:val="18"/>
              </w:rPr>
              <w:t>3</w:t>
            </w:r>
          </w:p>
        </w:tc>
        <w:tc>
          <w:tcPr>
            <w:tcW w:type="dxa" w:w="1756"/>
          </w:tcPr>
          <w:p>
            <w:pPr>
              <w:jc w:val="left"/>
            </w:pPr>
            <w:r/>
            <w:r>
              <w:rPr>
                <w:color w:val="101820"/>
                <w:sz w:val="18"/>
              </w:rPr>
              <w:t>$500</w:t>
            </w:r>
          </w:p>
        </w:tc>
        <w:tc>
          <w:tcPr>
            <w:tcW w:type="dxa" w:w="1756"/>
          </w:tcPr>
          <w:p>
            <w:pPr>
              <w:jc w:val="left"/>
            </w:pPr>
            <w:r/>
            <w:r>
              <w:rPr>
                <w:color w:val="101820"/>
                <w:sz w:val="18"/>
              </w:rPr>
              <w:t>$1,500</w:t>
            </w:r>
          </w:p>
        </w:tc>
      </w:tr>
      <w:tr>
        <w:tc>
          <w:tcPr>
            <w:tcW w:type="dxa" w:w="1756"/>
            <w:shd w:val="clear" w:color="auto" w:fill="F2F5FA"/>
          </w:tcPr>
          <w:p>
            <w:pPr>
              <w:jc w:val="left"/>
            </w:pPr>
            <w:r/>
            <w:r>
              <w:rPr>
                <w:color w:val="101820"/>
                <w:sz w:val="18"/>
              </w:rPr>
              <w:t>USSD menu design &amp; wireframes</w:t>
            </w:r>
          </w:p>
        </w:tc>
        <w:tc>
          <w:tcPr>
            <w:tcW w:type="dxa" w:w="1756"/>
            <w:shd w:val="clear" w:color="auto" w:fill="F2F5FA"/>
          </w:tcPr>
          <w:p>
            <w:pPr>
              <w:jc w:val="left"/>
            </w:pPr>
            <w:r/>
            <w:r>
              <w:rPr>
                <w:color w:val="101820"/>
                <w:sz w:val="18"/>
              </w:rPr>
              <w:t>UX Research Lead</w:t>
            </w:r>
          </w:p>
        </w:tc>
        <w:tc>
          <w:tcPr>
            <w:tcW w:type="dxa" w:w="1756"/>
            <w:shd w:val="clear" w:color="auto" w:fill="F2F5FA"/>
          </w:tcPr>
          <w:p>
            <w:pPr>
              <w:jc w:val="left"/>
            </w:pPr>
            <w:r/>
            <w:r>
              <w:rPr>
                <w:color w:val="101820"/>
                <w:sz w:val="18"/>
              </w:rPr>
              <w:t>3</w:t>
            </w:r>
          </w:p>
        </w:tc>
        <w:tc>
          <w:tcPr>
            <w:tcW w:type="dxa" w:w="1756"/>
            <w:shd w:val="clear" w:color="auto" w:fill="F2F5FA"/>
          </w:tcPr>
          <w:p>
            <w:pPr>
              <w:jc w:val="left"/>
            </w:pPr>
            <w:r/>
            <w:r>
              <w:rPr>
                <w:color w:val="101820"/>
                <w:sz w:val="18"/>
              </w:rPr>
              <w:t>$400</w:t>
            </w:r>
          </w:p>
        </w:tc>
        <w:tc>
          <w:tcPr>
            <w:tcW w:type="dxa" w:w="1756"/>
            <w:shd w:val="clear" w:color="auto" w:fill="F2F5FA"/>
          </w:tcPr>
          <w:p>
            <w:pPr>
              <w:jc w:val="left"/>
            </w:pPr>
            <w:r/>
            <w:r>
              <w:rPr>
                <w:color w:val="101820"/>
                <w:sz w:val="18"/>
              </w:rPr>
              <w:t>$1,200</w:t>
            </w:r>
          </w:p>
        </w:tc>
      </w:tr>
      <w:tr>
        <w:tc>
          <w:tcPr>
            <w:tcW w:type="dxa" w:w="1756"/>
          </w:tcPr>
          <w:p>
            <w:pPr>
              <w:jc w:val="left"/>
            </w:pPr>
            <w:r/>
            <w:r>
              <w:rPr>
                <w:color w:val="101820"/>
                <w:sz w:val="18"/>
              </w:rPr>
              <w:t>Technical architecture &amp; API design</w:t>
            </w:r>
          </w:p>
        </w:tc>
        <w:tc>
          <w:tcPr>
            <w:tcW w:type="dxa" w:w="1756"/>
          </w:tcPr>
          <w:p>
            <w:pPr>
              <w:jc w:val="left"/>
            </w:pPr>
            <w:r/>
            <w:r>
              <w:rPr>
                <w:color w:val="101820"/>
                <w:sz w:val="18"/>
              </w:rPr>
              <w:t>Solution Architect</w:t>
            </w:r>
          </w:p>
        </w:tc>
        <w:tc>
          <w:tcPr>
            <w:tcW w:type="dxa" w:w="1756"/>
          </w:tcPr>
          <w:p>
            <w:pPr>
              <w:jc w:val="left"/>
            </w:pPr>
            <w:r/>
            <w:r>
              <w:rPr>
                <w:color w:val="101820"/>
                <w:sz w:val="18"/>
              </w:rPr>
              <w:t>2</w:t>
            </w:r>
          </w:p>
        </w:tc>
        <w:tc>
          <w:tcPr>
            <w:tcW w:type="dxa" w:w="1756"/>
          </w:tcPr>
          <w:p>
            <w:pPr>
              <w:jc w:val="left"/>
            </w:pPr>
            <w:r/>
            <w:r>
              <w:rPr>
                <w:color w:val="101820"/>
                <w:sz w:val="18"/>
              </w:rPr>
              <w:t>$550</w:t>
            </w:r>
          </w:p>
        </w:tc>
        <w:tc>
          <w:tcPr>
            <w:tcW w:type="dxa" w:w="1756"/>
          </w:tcPr>
          <w:p>
            <w:pPr>
              <w:jc w:val="left"/>
            </w:pPr>
            <w:r/>
            <w:r>
              <w:rPr>
                <w:color w:val="101820"/>
                <w:sz w:val="18"/>
              </w:rPr>
              <w:t>$1,100</w:t>
            </w:r>
          </w:p>
        </w:tc>
      </w:tr>
      <w:tr>
        <w:tc>
          <w:tcPr>
            <w:tcW w:type="dxa" w:w="1756"/>
            <w:shd w:val="clear" w:color="auto" w:fill="F2F5FA"/>
          </w:tcPr>
          <w:p>
            <w:pPr>
              <w:jc w:val="left"/>
            </w:pPr>
            <w:r/>
            <w:r>
              <w:rPr>
                <w:color w:val="101820"/>
                <w:sz w:val="18"/>
              </w:rPr>
              <w:t>USSD application development</w:t>
            </w:r>
          </w:p>
        </w:tc>
        <w:tc>
          <w:tcPr>
            <w:tcW w:type="dxa" w:w="1756"/>
            <w:shd w:val="clear" w:color="auto" w:fill="F2F5FA"/>
          </w:tcPr>
          <w:p>
            <w:pPr>
              <w:jc w:val="left"/>
            </w:pPr>
            <w:r/>
            <w:r>
              <w:rPr>
                <w:color w:val="101820"/>
                <w:sz w:val="18"/>
              </w:rPr>
              <w:t>Mobile Developer</w:t>
            </w:r>
          </w:p>
        </w:tc>
        <w:tc>
          <w:tcPr>
            <w:tcW w:type="dxa" w:w="1756"/>
            <w:shd w:val="clear" w:color="auto" w:fill="F2F5FA"/>
          </w:tcPr>
          <w:p>
            <w:pPr>
              <w:jc w:val="left"/>
            </w:pPr>
            <w:r/>
            <w:r>
              <w:rPr>
                <w:color w:val="101820"/>
                <w:sz w:val="18"/>
              </w:rPr>
              <w:t>6</w:t>
            </w:r>
          </w:p>
        </w:tc>
        <w:tc>
          <w:tcPr>
            <w:tcW w:type="dxa" w:w="1756"/>
            <w:shd w:val="clear" w:color="auto" w:fill="F2F5FA"/>
          </w:tcPr>
          <w:p>
            <w:pPr>
              <w:jc w:val="left"/>
            </w:pPr>
            <w:r/>
            <w:r>
              <w:rPr>
                <w:color w:val="101820"/>
                <w:sz w:val="18"/>
              </w:rPr>
              <w:t>$450</w:t>
            </w:r>
          </w:p>
        </w:tc>
        <w:tc>
          <w:tcPr>
            <w:tcW w:type="dxa" w:w="1756"/>
            <w:shd w:val="clear" w:color="auto" w:fill="F2F5FA"/>
          </w:tcPr>
          <w:p>
            <w:pPr>
              <w:jc w:val="left"/>
            </w:pPr>
            <w:r/>
            <w:r>
              <w:rPr>
                <w:color w:val="101820"/>
                <w:sz w:val="18"/>
              </w:rPr>
              <w:t>$2,700</w:t>
            </w:r>
          </w:p>
        </w:tc>
      </w:tr>
      <w:tr>
        <w:tc>
          <w:tcPr>
            <w:tcW w:type="dxa" w:w="1756"/>
          </w:tcPr>
          <w:p>
            <w:pPr>
              <w:jc w:val="left"/>
            </w:pPr>
            <w:r/>
            <w:r>
              <w:rPr>
                <w:color w:val="101820"/>
                <w:sz w:val="18"/>
              </w:rPr>
              <w:t>REST API pipeline implementation</w:t>
            </w:r>
          </w:p>
        </w:tc>
        <w:tc>
          <w:tcPr>
            <w:tcW w:type="dxa" w:w="1756"/>
          </w:tcPr>
          <w:p>
            <w:pPr>
              <w:jc w:val="left"/>
            </w:pPr>
            <w:r/>
            <w:r>
              <w:rPr>
                <w:color w:val="101820"/>
                <w:sz w:val="18"/>
              </w:rPr>
              <w:t>Integration Engineer</w:t>
            </w:r>
          </w:p>
        </w:tc>
        <w:tc>
          <w:tcPr>
            <w:tcW w:type="dxa" w:w="1756"/>
          </w:tcPr>
          <w:p>
            <w:pPr>
              <w:jc w:val="left"/>
            </w:pPr>
            <w:r/>
            <w:r>
              <w:rPr>
                <w:color w:val="101820"/>
                <w:sz w:val="18"/>
              </w:rPr>
              <w:t>3</w:t>
            </w:r>
          </w:p>
        </w:tc>
        <w:tc>
          <w:tcPr>
            <w:tcW w:type="dxa" w:w="1756"/>
          </w:tcPr>
          <w:p>
            <w:pPr>
              <w:jc w:val="left"/>
            </w:pPr>
            <w:r/>
            <w:r>
              <w:rPr>
                <w:color w:val="101820"/>
                <w:sz w:val="18"/>
              </w:rPr>
              <w:t>$500</w:t>
            </w:r>
          </w:p>
        </w:tc>
        <w:tc>
          <w:tcPr>
            <w:tcW w:type="dxa" w:w="1756"/>
          </w:tcPr>
          <w:p>
            <w:pPr>
              <w:jc w:val="left"/>
            </w:pPr>
            <w:r/>
            <w:r>
              <w:rPr>
                <w:color w:val="101820"/>
                <w:sz w:val="18"/>
              </w:rPr>
              <w:t>$1,500</w:t>
            </w:r>
          </w:p>
        </w:tc>
      </w:tr>
      <w:tr>
        <w:tc>
          <w:tcPr>
            <w:tcW w:type="dxa" w:w="1756"/>
            <w:shd w:val="clear" w:color="auto" w:fill="F2F5FA"/>
          </w:tcPr>
          <w:p>
            <w:pPr>
              <w:jc w:val="left"/>
            </w:pPr>
            <w:r/>
            <w:r>
              <w:rPr>
                <w:color w:val="101820"/>
                <w:sz w:val="18"/>
              </w:rPr>
              <w:t>Internal QA &amp; performance testing</w:t>
            </w:r>
          </w:p>
        </w:tc>
        <w:tc>
          <w:tcPr>
            <w:tcW w:type="dxa" w:w="1756"/>
            <w:shd w:val="clear" w:color="auto" w:fill="F2F5FA"/>
          </w:tcPr>
          <w:p>
            <w:pPr>
              <w:jc w:val="left"/>
            </w:pPr>
            <w:r/>
            <w:r>
              <w:rPr>
                <w:color w:val="101820"/>
                <w:sz w:val="18"/>
              </w:rPr>
              <w:t>QA Engineer</w:t>
            </w:r>
          </w:p>
        </w:tc>
        <w:tc>
          <w:tcPr>
            <w:tcW w:type="dxa" w:w="1756"/>
            <w:shd w:val="clear" w:color="auto" w:fill="F2F5FA"/>
          </w:tcPr>
          <w:p>
            <w:pPr>
              <w:jc w:val="left"/>
            </w:pPr>
            <w:r/>
            <w:r>
              <w:rPr>
                <w:color w:val="101820"/>
                <w:sz w:val="18"/>
              </w:rPr>
              <w:t>4</w:t>
            </w:r>
          </w:p>
        </w:tc>
        <w:tc>
          <w:tcPr>
            <w:tcW w:type="dxa" w:w="1756"/>
            <w:shd w:val="clear" w:color="auto" w:fill="F2F5FA"/>
          </w:tcPr>
          <w:p>
            <w:pPr>
              <w:jc w:val="left"/>
            </w:pPr>
            <w:r/>
            <w:r>
              <w:rPr>
                <w:color w:val="101820"/>
                <w:sz w:val="18"/>
              </w:rPr>
              <w:t>$400</w:t>
            </w:r>
          </w:p>
        </w:tc>
        <w:tc>
          <w:tcPr>
            <w:tcW w:type="dxa" w:w="1756"/>
            <w:shd w:val="clear" w:color="auto" w:fill="F2F5FA"/>
          </w:tcPr>
          <w:p>
            <w:pPr>
              <w:jc w:val="left"/>
            </w:pPr>
            <w:r/>
            <w:r>
              <w:rPr>
                <w:color w:val="101820"/>
                <w:sz w:val="18"/>
              </w:rPr>
              <w:t>$1,600</w:t>
            </w:r>
          </w:p>
        </w:tc>
      </w:tr>
      <w:tr>
        <w:tc>
          <w:tcPr>
            <w:tcW w:type="dxa" w:w="1756"/>
          </w:tcPr>
          <w:p>
            <w:pPr>
              <w:jc w:val="left"/>
            </w:pPr>
            <w:r/>
            <w:r>
              <w:rPr>
                <w:color w:val="101820"/>
                <w:sz w:val="18"/>
              </w:rPr>
              <w:t>UAT coordination &amp; user testing (20+ users)</w:t>
            </w:r>
          </w:p>
        </w:tc>
        <w:tc>
          <w:tcPr>
            <w:tcW w:type="dxa" w:w="1756"/>
          </w:tcPr>
          <w:p>
            <w:pPr>
              <w:jc w:val="left"/>
            </w:pPr>
            <w:r/>
            <w:r>
              <w:rPr>
                <w:color w:val="101820"/>
                <w:sz w:val="18"/>
              </w:rPr>
              <w:t>UX Research Lead + QA</w:t>
            </w:r>
          </w:p>
        </w:tc>
        <w:tc>
          <w:tcPr>
            <w:tcW w:type="dxa" w:w="1756"/>
          </w:tcPr>
          <w:p>
            <w:pPr>
              <w:jc w:val="left"/>
            </w:pPr>
            <w:r/>
            <w:r>
              <w:rPr>
                <w:color w:val="101820"/>
                <w:sz w:val="18"/>
              </w:rPr>
              <w:t>4</w:t>
            </w:r>
          </w:p>
        </w:tc>
        <w:tc>
          <w:tcPr>
            <w:tcW w:type="dxa" w:w="1756"/>
          </w:tcPr>
          <w:p>
            <w:pPr>
              <w:jc w:val="left"/>
            </w:pPr>
            <w:r/>
            <w:r>
              <w:rPr>
                <w:color w:val="101820"/>
                <w:sz w:val="18"/>
              </w:rPr>
              <w:t>$400</w:t>
            </w:r>
          </w:p>
        </w:tc>
        <w:tc>
          <w:tcPr>
            <w:tcW w:type="dxa" w:w="1756"/>
          </w:tcPr>
          <w:p>
            <w:pPr>
              <w:jc w:val="left"/>
            </w:pPr>
            <w:r/>
            <w:r>
              <w:rPr>
                <w:color w:val="101820"/>
                <w:sz w:val="18"/>
              </w:rPr>
              <w:t>$1,600</w:t>
            </w:r>
          </w:p>
        </w:tc>
      </w:tr>
      <w:tr>
        <w:tc>
          <w:tcPr>
            <w:tcW w:type="dxa" w:w="1756"/>
            <w:shd w:val="clear" w:color="auto" w:fill="F2F5FA"/>
          </w:tcPr>
          <w:p>
            <w:pPr>
              <w:jc w:val="left"/>
            </w:pPr>
            <w:r/>
            <w:r>
              <w:rPr>
                <w:color w:val="101820"/>
                <w:sz w:val="18"/>
              </w:rPr>
              <w:t>Data privacy review &amp; compliance check</w:t>
            </w:r>
          </w:p>
        </w:tc>
        <w:tc>
          <w:tcPr>
            <w:tcW w:type="dxa" w:w="1756"/>
            <w:shd w:val="clear" w:color="auto" w:fill="F2F5FA"/>
          </w:tcPr>
          <w:p>
            <w:pPr>
              <w:jc w:val="left"/>
            </w:pPr>
            <w:r/>
            <w:r>
              <w:rPr>
                <w:color w:val="101820"/>
                <w:sz w:val="18"/>
              </w:rPr>
              <w:t>Data Privacy Officer</w:t>
            </w:r>
          </w:p>
        </w:tc>
        <w:tc>
          <w:tcPr>
            <w:tcW w:type="dxa" w:w="1756"/>
            <w:shd w:val="clear" w:color="auto" w:fill="F2F5FA"/>
          </w:tcPr>
          <w:p>
            <w:pPr>
              <w:jc w:val="left"/>
            </w:pPr>
            <w:r/>
            <w:r>
              <w:rPr>
                <w:color w:val="101820"/>
                <w:sz w:val="18"/>
              </w:rPr>
              <w:t>1</w:t>
            </w:r>
          </w:p>
        </w:tc>
        <w:tc>
          <w:tcPr>
            <w:tcW w:type="dxa" w:w="1756"/>
            <w:shd w:val="clear" w:color="auto" w:fill="F2F5FA"/>
          </w:tcPr>
          <w:p>
            <w:pPr>
              <w:jc w:val="left"/>
            </w:pPr>
            <w:r/>
            <w:r>
              <w:rPr>
                <w:color w:val="101820"/>
                <w:sz w:val="18"/>
              </w:rPr>
              <w:t>$450</w:t>
            </w:r>
          </w:p>
        </w:tc>
        <w:tc>
          <w:tcPr>
            <w:tcW w:type="dxa" w:w="1756"/>
            <w:shd w:val="clear" w:color="auto" w:fill="F2F5FA"/>
          </w:tcPr>
          <w:p>
            <w:pPr>
              <w:jc w:val="left"/>
            </w:pPr>
            <w:r/>
            <w:r>
              <w:rPr>
                <w:color w:val="101820"/>
                <w:sz w:val="18"/>
              </w:rPr>
              <w:t>$450</w:t>
            </w:r>
          </w:p>
        </w:tc>
      </w:tr>
      <w:tr>
        <w:tc>
          <w:tcPr>
            <w:tcW w:type="dxa" w:w="1756"/>
          </w:tcPr>
          <w:p>
            <w:pPr>
              <w:jc w:val="left"/>
            </w:pPr>
            <w:r/>
            <w:r>
              <w:rPr>
                <w:color w:val="101820"/>
                <w:sz w:val="18"/>
              </w:rPr>
              <w:t>Documentation &amp; training materials</w:t>
            </w:r>
          </w:p>
        </w:tc>
        <w:tc>
          <w:tcPr>
            <w:tcW w:type="dxa" w:w="1756"/>
          </w:tcPr>
          <w:p>
            <w:pPr>
              <w:jc w:val="left"/>
            </w:pPr>
            <w:r/>
            <w:r>
              <w:rPr>
                <w:color w:val="101820"/>
                <w:sz w:val="18"/>
              </w:rPr>
              <w:t>Document Designer</w:t>
            </w:r>
          </w:p>
        </w:tc>
        <w:tc>
          <w:tcPr>
            <w:tcW w:type="dxa" w:w="1756"/>
          </w:tcPr>
          <w:p>
            <w:pPr>
              <w:jc w:val="left"/>
            </w:pPr>
            <w:r/>
            <w:r>
              <w:rPr>
                <w:color w:val="101820"/>
                <w:sz w:val="18"/>
              </w:rPr>
              <w:t>2</w:t>
            </w:r>
          </w:p>
        </w:tc>
        <w:tc>
          <w:tcPr>
            <w:tcW w:type="dxa" w:w="1756"/>
          </w:tcPr>
          <w:p>
            <w:pPr>
              <w:jc w:val="left"/>
            </w:pPr>
            <w:r/>
            <w:r>
              <w:rPr>
                <w:color w:val="101820"/>
                <w:sz w:val="18"/>
              </w:rPr>
              <w:t>$350</w:t>
            </w:r>
          </w:p>
        </w:tc>
        <w:tc>
          <w:tcPr>
            <w:tcW w:type="dxa" w:w="1756"/>
          </w:tcPr>
          <w:p>
            <w:pPr>
              <w:jc w:val="left"/>
            </w:pPr>
            <w:r/>
            <w:r>
              <w:rPr>
                <w:color w:val="101820"/>
                <w:sz w:val="18"/>
              </w:rPr>
              <w:t>$700</w:t>
            </w:r>
          </w:p>
        </w:tc>
      </w:tr>
      <w:tr>
        <w:tc>
          <w:tcPr>
            <w:tcW w:type="dxa" w:w="1756"/>
            <w:shd w:val="clear" w:color="auto" w:fill="F2F5FA"/>
          </w:tcPr>
          <w:p>
            <w:pPr>
              <w:jc w:val="left"/>
            </w:pPr>
            <w:r/>
            <w:r>
              <w:rPr>
                <w:color w:val="101820"/>
                <w:sz w:val="18"/>
              </w:rPr>
              <w:t>Project management &amp; coordination</w:t>
            </w:r>
          </w:p>
        </w:tc>
        <w:tc>
          <w:tcPr>
            <w:tcW w:type="dxa" w:w="1756"/>
            <w:shd w:val="clear" w:color="auto" w:fill="F2F5FA"/>
          </w:tcPr>
          <w:p>
            <w:pPr>
              <w:jc w:val="left"/>
            </w:pPr>
            <w:r/>
            <w:r>
              <w:rPr>
                <w:color w:val="101820"/>
                <w:sz w:val="18"/>
              </w:rPr>
              <w:t>Consulting Lead</w:t>
            </w:r>
          </w:p>
        </w:tc>
        <w:tc>
          <w:tcPr>
            <w:tcW w:type="dxa" w:w="1756"/>
            <w:shd w:val="clear" w:color="auto" w:fill="F2F5FA"/>
          </w:tcPr>
          <w:p>
            <w:pPr>
              <w:jc w:val="left"/>
            </w:pPr>
            <w:r/>
            <w:r>
              <w:rPr>
                <w:color w:val="101820"/>
                <w:sz w:val="18"/>
              </w:rPr>
              <w:t>2</w:t>
            </w:r>
          </w:p>
        </w:tc>
        <w:tc>
          <w:tcPr>
            <w:tcW w:type="dxa" w:w="1756"/>
            <w:shd w:val="clear" w:color="auto" w:fill="F2F5FA"/>
          </w:tcPr>
          <w:p>
            <w:pPr>
              <w:jc w:val="left"/>
            </w:pPr>
            <w:r/>
            <w:r>
              <w:rPr>
                <w:color w:val="101820"/>
                <w:sz w:val="18"/>
              </w:rPr>
              <w:t>$500</w:t>
            </w:r>
          </w:p>
        </w:tc>
        <w:tc>
          <w:tcPr>
            <w:tcW w:type="dxa" w:w="1756"/>
            <w:shd w:val="clear" w:color="auto" w:fill="F2F5FA"/>
          </w:tcPr>
          <w:p>
            <w:pPr>
              <w:jc w:val="left"/>
            </w:pPr>
            <w:r/>
            <w:r>
              <w:rPr>
                <w:color w:val="101820"/>
                <w:sz w:val="18"/>
              </w:rPr>
              <w:t>$1,000</w:t>
            </w:r>
          </w:p>
        </w:tc>
      </w:tr>
      <w:tr>
        <w:tc>
          <w:tcPr>
            <w:tcW w:type="dxa" w:w="1756"/>
            <w:shd w:fill="D0F0E8" w:val="clear"/>
          </w:tcPr>
          <w:p>
            <w:pPr>
              <w:jc w:val="left"/>
            </w:pPr>
            <w:r/>
            <w:r>
              <w:rPr>
                <w:color w:val="101820"/>
                <w:sz w:val="18"/>
              </w:rPr>
            </w:r>
          </w:p>
        </w:tc>
        <w:tc>
          <w:tcPr>
            <w:tcW w:type="dxa" w:w="1756"/>
            <w:shd w:fill="D0F0E8" w:val="clear"/>
          </w:tcPr>
          <w:p>
            <w:pPr>
              <w:jc w:val="left"/>
            </w:pPr>
            <w:r/>
            <w:r>
              <w:rPr>
                <w:color w:val="101820"/>
                <w:sz w:val="18"/>
              </w:rPr>
            </w:r>
          </w:p>
        </w:tc>
        <w:tc>
          <w:tcPr>
            <w:tcW w:type="dxa" w:w="1756"/>
            <w:shd w:fill="D0F0E8" w:val="clear"/>
          </w:tcPr>
          <w:p>
            <w:pPr>
              <w:jc w:val="left"/>
            </w:pPr>
            <w:r/>
            <w:r>
              <w:rPr>
                <w:color w:val="101820"/>
                <w:sz w:val="18"/>
              </w:rPr>
            </w:r>
          </w:p>
        </w:tc>
        <w:tc>
          <w:tcPr>
            <w:tcW w:type="dxa" w:w="1756"/>
            <w:shd w:fill="D0F0E8" w:val="clear"/>
          </w:tcPr>
          <w:p>
            <w:pPr>
              <w:jc w:val="left"/>
            </w:pPr>
            <w:r/>
            <w:r>
              <w:rPr>
                <w:color w:val="101820"/>
                <w:sz w:val="18"/>
              </w:rPr>
              <w:t>Subtotal</w:t>
            </w:r>
          </w:p>
        </w:tc>
        <w:tc>
          <w:tcPr>
            <w:tcW w:type="dxa" w:w="1756"/>
            <w:shd w:fill="D0F0E8" w:val="clear"/>
          </w:tcPr>
          <w:p>
            <w:pPr>
              <w:jc w:val="left"/>
            </w:pPr>
            <w:r/>
            <w:r>
              <w:rPr>
                <w:color w:val="101820"/>
                <w:sz w:val="18"/>
              </w:rPr>
              <w:t>$13,350</w:t>
            </w:r>
          </w:p>
        </w:tc>
      </w:tr>
    </w:tbl>
    <w:p>
      <w:pPr/>
      <w:r/>
    </w:p>
    <w:p>
      <w:pPr>
        <w:ind w:left="360"/>
      </w:pPr>
      <w:r>
        <w:t>7.2 Phase 2: Maintenance &amp; Support (24 months)</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1464"/>
        <w:gridCol w:w="1464"/>
        <w:gridCol w:w="1464"/>
        <w:gridCol w:w="1464"/>
        <w:gridCol w:w="1464"/>
        <w:gridCol w:w="1464"/>
      </w:tblGrid>
      <w:tr>
        <w:trPr>
          <w:tblHeader/>
        </w:trPr>
        <w:tc>
          <w:tcPr>
            <w:tcW w:type="dxa" w:w="1464"/>
            <w:shd w:fill="070A40" w:val="clear" w:color="auto"/>
            <w:vAlign w:val="center"/>
          </w:tcPr>
          <w:p>
            <w:pPr>
              <w:jc w:val="center"/>
            </w:pPr>
            <w:r>
              <w:rPr>
                <w:b/>
                <w:color w:val="FFFFFF"/>
              </w:rPr>
            </w:r>
            <w:r>
              <w:rPr>
                <w:b/>
                <w:color w:val="FFFFFF"/>
                <w:sz w:val="18"/>
              </w:rPr>
              <w:t>Line Item</w:t>
            </w:r>
          </w:p>
        </w:tc>
        <w:tc>
          <w:tcPr>
            <w:tcW w:type="dxa" w:w="1464"/>
            <w:shd w:fill="070A40" w:val="clear" w:color="auto"/>
            <w:vAlign w:val="center"/>
          </w:tcPr>
          <w:p>
            <w:pPr>
              <w:jc w:val="center"/>
            </w:pPr>
            <w:r>
              <w:rPr>
                <w:b/>
                <w:color w:val="FFFFFF"/>
              </w:rPr>
            </w:r>
            <w:r>
              <w:rPr>
                <w:b/>
                <w:color w:val="FFFFFF"/>
                <w:sz w:val="18"/>
              </w:rPr>
              <w:t>Role</w:t>
            </w:r>
          </w:p>
        </w:tc>
        <w:tc>
          <w:tcPr>
            <w:tcW w:type="dxa" w:w="1464"/>
            <w:shd w:fill="070A40" w:val="clear" w:color="auto"/>
            <w:vAlign w:val="center"/>
          </w:tcPr>
          <w:p>
            <w:pPr>
              <w:jc w:val="center"/>
            </w:pPr>
            <w:r>
              <w:rPr>
                <w:b/>
                <w:color w:val="FFFFFF"/>
              </w:rPr>
            </w:r>
            <w:r>
              <w:rPr>
                <w:b/>
                <w:color w:val="FFFFFF"/>
                <w:sz w:val="18"/>
              </w:rPr>
              <w:t>Hours/Month</w:t>
            </w:r>
          </w:p>
        </w:tc>
        <w:tc>
          <w:tcPr>
            <w:tcW w:type="dxa" w:w="1464"/>
            <w:shd w:fill="070A40" w:val="clear" w:color="auto"/>
            <w:vAlign w:val="center"/>
          </w:tcPr>
          <w:p>
            <w:pPr>
              <w:jc w:val="center"/>
            </w:pPr>
            <w:r>
              <w:rPr>
                <w:b/>
                <w:color w:val="FFFFFF"/>
              </w:rPr>
            </w:r>
            <w:r>
              <w:rPr>
                <w:b/>
                <w:color w:val="FFFFFF"/>
                <w:sz w:val="18"/>
              </w:rPr>
              <w:t>Rate (USD/hr)</w:t>
            </w:r>
          </w:p>
        </w:tc>
        <w:tc>
          <w:tcPr>
            <w:tcW w:type="dxa" w:w="1464"/>
            <w:shd w:fill="070A40" w:val="clear" w:color="auto"/>
            <w:vAlign w:val="center"/>
          </w:tcPr>
          <w:p>
            <w:pPr>
              <w:jc w:val="center"/>
            </w:pPr>
            <w:r>
              <w:rPr>
                <w:b/>
                <w:color w:val="FFFFFF"/>
              </w:rPr>
            </w:r>
            <w:r>
              <w:rPr>
                <w:b/>
                <w:color w:val="FFFFFF"/>
                <w:sz w:val="18"/>
              </w:rPr>
              <w:t>Monthly (USD)</w:t>
            </w:r>
          </w:p>
        </w:tc>
        <w:tc>
          <w:tcPr>
            <w:tcW w:type="dxa" w:w="1464"/>
            <w:shd w:fill="070A40" w:val="clear" w:color="auto"/>
            <w:vAlign w:val="center"/>
          </w:tcPr>
          <w:p>
            <w:pPr>
              <w:jc w:val="center"/>
            </w:pPr>
            <w:r>
              <w:rPr>
                <w:b/>
                <w:color w:val="FFFFFF"/>
              </w:rPr>
            </w:r>
            <w:r>
              <w:rPr>
                <w:b/>
                <w:color w:val="FFFFFF"/>
                <w:sz w:val="18"/>
              </w:rPr>
              <w:t>24-Month (USD)</w:t>
            </w:r>
          </w:p>
        </w:tc>
      </w:tr>
      <w:tr>
        <w:tc>
          <w:tcPr>
            <w:tcW w:type="dxa" w:w="1464"/>
          </w:tcPr>
          <w:p>
            <w:pPr>
              <w:jc w:val="left"/>
            </w:pPr>
            <w:r/>
            <w:r>
              <w:rPr>
                <w:color w:val="101820"/>
                <w:sz w:val="18"/>
              </w:rPr>
              <w:t>Monthly uptime &amp; usage reporting</w:t>
            </w:r>
          </w:p>
        </w:tc>
        <w:tc>
          <w:tcPr>
            <w:tcW w:type="dxa" w:w="1464"/>
          </w:tcPr>
          <w:p>
            <w:pPr>
              <w:jc w:val="left"/>
            </w:pPr>
            <w:r/>
            <w:r>
              <w:rPr>
                <w:color w:val="101820"/>
                <w:sz w:val="18"/>
              </w:rPr>
              <w:t>Solution Architect</w:t>
            </w:r>
          </w:p>
        </w:tc>
        <w:tc>
          <w:tcPr>
            <w:tcW w:type="dxa" w:w="1464"/>
          </w:tcPr>
          <w:p>
            <w:pPr>
              <w:jc w:val="left"/>
            </w:pPr>
            <w:r/>
            <w:r>
              <w:rPr>
                <w:color w:val="101820"/>
                <w:sz w:val="18"/>
              </w:rPr>
              <w:t>4</w:t>
            </w:r>
          </w:p>
        </w:tc>
        <w:tc>
          <w:tcPr>
            <w:tcW w:type="dxa" w:w="1464"/>
          </w:tcPr>
          <w:p>
            <w:pPr>
              <w:jc w:val="left"/>
            </w:pPr>
            <w:r/>
            <w:r>
              <w:rPr>
                <w:color w:val="101820"/>
                <w:sz w:val="18"/>
              </w:rPr>
              <w:t>$50</w:t>
            </w:r>
          </w:p>
        </w:tc>
        <w:tc>
          <w:tcPr>
            <w:tcW w:type="dxa" w:w="1464"/>
          </w:tcPr>
          <w:p>
            <w:pPr>
              <w:jc w:val="left"/>
            </w:pPr>
            <w:r/>
            <w:r>
              <w:rPr>
                <w:color w:val="101820"/>
                <w:sz w:val="18"/>
              </w:rPr>
              <w:t>$200</w:t>
            </w:r>
          </w:p>
        </w:tc>
        <w:tc>
          <w:tcPr>
            <w:tcW w:type="dxa" w:w="1464"/>
          </w:tcPr>
          <w:p>
            <w:pPr>
              <w:jc w:val="left"/>
            </w:pPr>
            <w:r/>
            <w:r>
              <w:rPr>
                <w:color w:val="101820"/>
                <w:sz w:val="18"/>
              </w:rPr>
              <w:t>$4,800</w:t>
            </w:r>
          </w:p>
        </w:tc>
      </w:tr>
      <w:tr>
        <w:tc>
          <w:tcPr>
            <w:tcW w:type="dxa" w:w="1464"/>
            <w:shd w:val="clear" w:color="auto" w:fill="F2F5FA"/>
          </w:tcPr>
          <w:p>
            <w:pPr>
              <w:jc w:val="left"/>
            </w:pPr>
            <w:r/>
            <w:r>
              <w:rPr>
                <w:color w:val="101820"/>
                <w:sz w:val="18"/>
              </w:rPr>
              <w:t>Content updates (Chichewa health messaging)</w:t>
            </w:r>
          </w:p>
        </w:tc>
        <w:tc>
          <w:tcPr>
            <w:tcW w:type="dxa" w:w="1464"/>
            <w:shd w:val="clear" w:color="auto" w:fill="F2F5FA"/>
          </w:tcPr>
          <w:p>
            <w:pPr>
              <w:jc w:val="left"/>
            </w:pPr>
            <w:r/>
            <w:r>
              <w:rPr>
                <w:color w:val="101820"/>
                <w:sz w:val="18"/>
              </w:rPr>
              <w:t>Mobile Developer</w:t>
            </w:r>
          </w:p>
        </w:tc>
        <w:tc>
          <w:tcPr>
            <w:tcW w:type="dxa" w:w="1464"/>
            <w:shd w:val="clear" w:color="auto" w:fill="F2F5FA"/>
          </w:tcPr>
          <w:p>
            <w:pPr>
              <w:jc w:val="left"/>
            </w:pPr>
            <w:r/>
            <w:r>
              <w:rPr>
                <w:color w:val="101820"/>
                <w:sz w:val="18"/>
              </w:rPr>
              <w:t>6</w:t>
            </w:r>
          </w:p>
        </w:tc>
        <w:tc>
          <w:tcPr>
            <w:tcW w:type="dxa" w:w="1464"/>
            <w:shd w:val="clear" w:color="auto" w:fill="F2F5FA"/>
          </w:tcPr>
          <w:p>
            <w:pPr>
              <w:jc w:val="left"/>
            </w:pPr>
            <w:r/>
            <w:r>
              <w:rPr>
                <w:color w:val="101820"/>
                <w:sz w:val="18"/>
              </w:rPr>
              <w:t>$45</w:t>
            </w:r>
          </w:p>
        </w:tc>
        <w:tc>
          <w:tcPr>
            <w:tcW w:type="dxa" w:w="1464"/>
            <w:shd w:val="clear" w:color="auto" w:fill="F2F5FA"/>
          </w:tcPr>
          <w:p>
            <w:pPr>
              <w:jc w:val="left"/>
            </w:pPr>
            <w:r/>
            <w:r>
              <w:rPr>
                <w:color w:val="101820"/>
                <w:sz w:val="18"/>
              </w:rPr>
              <w:t>$270</w:t>
            </w:r>
          </w:p>
        </w:tc>
        <w:tc>
          <w:tcPr>
            <w:tcW w:type="dxa" w:w="1464"/>
            <w:shd w:val="clear" w:color="auto" w:fill="F2F5FA"/>
          </w:tcPr>
          <w:p>
            <w:pPr>
              <w:jc w:val="left"/>
            </w:pPr>
            <w:r/>
            <w:r>
              <w:rPr>
                <w:color w:val="101820"/>
                <w:sz w:val="18"/>
              </w:rPr>
              <w:t>$6,480</w:t>
            </w:r>
          </w:p>
        </w:tc>
      </w:tr>
      <w:tr>
        <w:tc>
          <w:tcPr>
            <w:tcW w:type="dxa" w:w="1464"/>
          </w:tcPr>
          <w:p>
            <w:pPr>
              <w:jc w:val="left"/>
            </w:pPr>
            <w:r/>
            <w:r>
              <w:rPr>
                <w:color w:val="101820"/>
                <w:sz w:val="18"/>
              </w:rPr>
              <w:t>Bug fixes &amp; performance optimization</w:t>
            </w:r>
          </w:p>
        </w:tc>
        <w:tc>
          <w:tcPr>
            <w:tcW w:type="dxa" w:w="1464"/>
          </w:tcPr>
          <w:p>
            <w:pPr>
              <w:jc w:val="left"/>
            </w:pPr>
            <w:r/>
            <w:r>
              <w:rPr>
                <w:color w:val="101820"/>
                <w:sz w:val="18"/>
              </w:rPr>
              <w:t>QA Engineer</w:t>
            </w:r>
          </w:p>
        </w:tc>
        <w:tc>
          <w:tcPr>
            <w:tcW w:type="dxa" w:w="1464"/>
          </w:tcPr>
          <w:p>
            <w:pPr>
              <w:jc w:val="left"/>
            </w:pPr>
            <w:r/>
            <w:r>
              <w:rPr>
                <w:color w:val="101820"/>
                <w:sz w:val="18"/>
              </w:rPr>
              <w:t>4</w:t>
            </w:r>
          </w:p>
        </w:tc>
        <w:tc>
          <w:tcPr>
            <w:tcW w:type="dxa" w:w="1464"/>
          </w:tcPr>
          <w:p>
            <w:pPr>
              <w:jc w:val="left"/>
            </w:pPr>
            <w:r/>
            <w:r>
              <w:rPr>
                <w:color w:val="101820"/>
                <w:sz w:val="18"/>
              </w:rPr>
              <w:t>$40</w:t>
            </w:r>
          </w:p>
        </w:tc>
        <w:tc>
          <w:tcPr>
            <w:tcW w:type="dxa" w:w="1464"/>
          </w:tcPr>
          <w:p>
            <w:pPr>
              <w:jc w:val="left"/>
            </w:pPr>
            <w:r/>
            <w:r>
              <w:rPr>
                <w:color w:val="101820"/>
                <w:sz w:val="18"/>
              </w:rPr>
              <w:t>$160</w:t>
            </w:r>
          </w:p>
        </w:tc>
        <w:tc>
          <w:tcPr>
            <w:tcW w:type="dxa" w:w="1464"/>
          </w:tcPr>
          <w:p>
            <w:pPr>
              <w:jc w:val="left"/>
            </w:pPr>
            <w:r/>
            <w:r>
              <w:rPr>
                <w:color w:val="101820"/>
                <w:sz w:val="18"/>
              </w:rPr>
              <w:t>$3,840</w:t>
            </w:r>
          </w:p>
        </w:tc>
      </w:tr>
      <w:tr>
        <w:tc>
          <w:tcPr>
            <w:tcW w:type="dxa" w:w="1464"/>
            <w:shd w:val="clear" w:color="auto" w:fill="F2F5FA"/>
          </w:tcPr>
          <w:p>
            <w:pPr>
              <w:jc w:val="left"/>
            </w:pPr>
            <w:r/>
            <w:r>
              <w:rPr>
                <w:color w:val="101820"/>
                <w:sz w:val="18"/>
              </w:rPr>
              <w:t>Data pipeline monitoring &amp; API health</w:t>
            </w:r>
          </w:p>
        </w:tc>
        <w:tc>
          <w:tcPr>
            <w:tcW w:type="dxa" w:w="1464"/>
            <w:shd w:val="clear" w:color="auto" w:fill="F2F5FA"/>
          </w:tcPr>
          <w:p>
            <w:pPr>
              <w:jc w:val="left"/>
            </w:pPr>
            <w:r/>
            <w:r>
              <w:rPr>
                <w:color w:val="101820"/>
                <w:sz w:val="18"/>
              </w:rPr>
              <w:t>Integration Engineer</w:t>
            </w:r>
          </w:p>
        </w:tc>
        <w:tc>
          <w:tcPr>
            <w:tcW w:type="dxa" w:w="1464"/>
            <w:shd w:val="clear" w:color="auto" w:fill="F2F5FA"/>
          </w:tcPr>
          <w:p>
            <w:pPr>
              <w:jc w:val="left"/>
            </w:pPr>
            <w:r/>
            <w:r>
              <w:rPr>
                <w:color w:val="101820"/>
                <w:sz w:val="18"/>
              </w:rPr>
              <w:t>4</w:t>
            </w:r>
          </w:p>
        </w:tc>
        <w:tc>
          <w:tcPr>
            <w:tcW w:type="dxa" w:w="1464"/>
            <w:shd w:val="clear" w:color="auto" w:fill="F2F5FA"/>
          </w:tcPr>
          <w:p>
            <w:pPr>
              <w:jc w:val="left"/>
            </w:pPr>
            <w:r/>
            <w:r>
              <w:rPr>
                <w:color w:val="101820"/>
                <w:sz w:val="18"/>
              </w:rPr>
              <w:t>$50</w:t>
            </w:r>
          </w:p>
        </w:tc>
        <w:tc>
          <w:tcPr>
            <w:tcW w:type="dxa" w:w="1464"/>
            <w:shd w:val="clear" w:color="auto" w:fill="F2F5FA"/>
          </w:tcPr>
          <w:p>
            <w:pPr>
              <w:jc w:val="left"/>
            </w:pPr>
            <w:r/>
            <w:r>
              <w:rPr>
                <w:color w:val="101820"/>
                <w:sz w:val="18"/>
              </w:rPr>
              <w:t>$200</w:t>
            </w:r>
          </w:p>
        </w:tc>
        <w:tc>
          <w:tcPr>
            <w:tcW w:type="dxa" w:w="1464"/>
            <w:shd w:val="clear" w:color="auto" w:fill="F2F5FA"/>
          </w:tcPr>
          <w:p>
            <w:pPr>
              <w:jc w:val="left"/>
            </w:pPr>
            <w:r/>
            <w:r>
              <w:rPr>
                <w:color w:val="101820"/>
                <w:sz w:val="18"/>
              </w:rPr>
              <w:t>$4,800</w:t>
            </w:r>
          </w:p>
        </w:tc>
      </w:tr>
      <w:tr>
        <w:tc>
          <w:tcPr>
            <w:tcW w:type="dxa" w:w="1464"/>
          </w:tcPr>
          <w:p>
            <w:pPr>
              <w:jc w:val="left"/>
            </w:pPr>
            <w:r/>
            <w:r>
              <w:rPr>
                <w:color w:val="101820"/>
                <w:sz w:val="18"/>
              </w:rPr>
              <w:t>Project management &amp; client liaison</w:t>
            </w:r>
          </w:p>
        </w:tc>
        <w:tc>
          <w:tcPr>
            <w:tcW w:type="dxa" w:w="1464"/>
          </w:tcPr>
          <w:p>
            <w:pPr>
              <w:jc w:val="left"/>
            </w:pPr>
            <w:r/>
            <w:r>
              <w:rPr>
                <w:color w:val="101820"/>
                <w:sz w:val="18"/>
              </w:rPr>
              <w:t>Consulting Lead</w:t>
            </w:r>
          </w:p>
        </w:tc>
        <w:tc>
          <w:tcPr>
            <w:tcW w:type="dxa" w:w="1464"/>
          </w:tcPr>
          <w:p>
            <w:pPr>
              <w:jc w:val="left"/>
            </w:pPr>
            <w:r/>
            <w:r>
              <w:rPr>
                <w:color w:val="101820"/>
                <w:sz w:val="18"/>
              </w:rPr>
              <w:t>5</w:t>
            </w:r>
          </w:p>
        </w:tc>
        <w:tc>
          <w:tcPr>
            <w:tcW w:type="dxa" w:w="1464"/>
          </w:tcPr>
          <w:p>
            <w:pPr>
              <w:jc w:val="left"/>
            </w:pPr>
            <w:r/>
            <w:r>
              <w:rPr>
                <w:color w:val="101820"/>
                <w:sz w:val="18"/>
              </w:rPr>
              <w:t>$50</w:t>
            </w:r>
          </w:p>
        </w:tc>
        <w:tc>
          <w:tcPr>
            <w:tcW w:type="dxa" w:w="1464"/>
          </w:tcPr>
          <w:p>
            <w:pPr>
              <w:jc w:val="left"/>
            </w:pPr>
            <w:r/>
            <w:r>
              <w:rPr>
                <w:color w:val="101820"/>
                <w:sz w:val="18"/>
              </w:rPr>
              <w:t>$238</w:t>
            </w:r>
          </w:p>
        </w:tc>
        <w:tc>
          <w:tcPr>
            <w:tcW w:type="dxa" w:w="1464"/>
          </w:tcPr>
          <w:p>
            <w:pPr>
              <w:jc w:val="left"/>
            </w:pPr>
            <w:r/>
            <w:r>
              <w:rPr>
                <w:color w:val="101820"/>
                <w:sz w:val="18"/>
              </w:rPr>
              <w:t>$5,713</w:t>
            </w:r>
          </w:p>
        </w:tc>
      </w:tr>
      <w:tr>
        <w:tc>
          <w:tcPr>
            <w:tcW w:type="dxa" w:w="1464"/>
            <w:shd w:val="clear" w:color="auto" w:fill="F2F5FA"/>
          </w:tcPr>
          <w:p>
            <w:pPr>
              <w:jc w:val="left"/>
            </w:pPr>
            <w:r/>
            <w:r>
              <w:rPr>
                <w:color w:val="101820"/>
                <w:sz w:val="18"/>
              </w:rPr>
            </w:r>
          </w:p>
        </w:tc>
        <w:tc>
          <w:tcPr>
            <w:tcW w:type="dxa" w:w="1464"/>
            <w:shd w:val="clear" w:color="auto" w:fill="F2F5FA"/>
          </w:tcPr>
          <w:p>
            <w:pPr>
              <w:jc w:val="left"/>
            </w:pPr>
            <w:r/>
            <w:r>
              <w:rPr>
                <w:color w:val="101820"/>
                <w:sz w:val="18"/>
              </w:rPr>
            </w:r>
          </w:p>
        </w:tc>
        <w:tc>
          <w:tcPr>
            <w:tcW w:type="dxa" w:w="1464"/>
            <w:shd w:val="clear" w:color="auto" w:fill="F2F5FA"/>
          </w:tcPr>
          <w:p>
            <w:pPr>
              <w:jc w:val="left"/>
            </w:pPr>
            <w:r/>
            <w:r>
              <w:rPr>
                <w:color w:val="101820"/>
                <w:sz w:val="18"/>
              </w:rPr>
            </w:r>
          </w:p>
        </w:tc>
        <w:tc>
          <w:tcPr>
            <w:tcW w:type="dxa" w:w="1464"/>
            <w:shd w:val="clear" w:color="auto" w:fill="F2F5FA"/>
          </w:tcPr>
          <w:p>
            <w:pPr>
              <w:jc w:val="left"/>
            </w:pPr>
            <w:r/>
            <w:r>
              <w:rPr>
                <w:color w:val="101820"/>
                <w:sz w:val="18"/>
              </w:rPr>
            </w:r>
          </w:p>
        </w:tc>
        <w:tc>
          <w:tcPr>
            <w:tcW w:type="dxa" w:w="1464"/>
            <w:shd w:val="clear" w:color="auto" w:fill="F2F5FA"/>
          </w:tcPr>
          <w:p>
            <w:pPr>
              <w:jc w:val="left"/>
            </w:pPr>
            <w:r/>
            <w:r>
              <w:rPr>
                <w:color w:val="101820"/>
                <w:sz w:val="18"/>
              </w:rPr>
              <w:t>Monthly Total</w:t>
            </w:r>
          </w:p>
        </w:tc>
        <w:tc>
          <w:tcPr>
            <w:tcW w:type="dxa" w:w="1464"/>
            <w:shd w:val="clear" w:color="auto" w:fill="F2F5FA"/>
          </w:tcPr>
          <w:p>
            <w:pPr>
              <w:jc w:val="left"/>
            </w:pPr>
            <w:r/>
            <w:r>
              <w:rPr>
                <w:color w:val="101820"/>
                <w:sz w:val="18"/>
              </w:rPr>
              <w:t>$1,068</w:t>
            </w:r>
          </w:p>
        </w:tc>
      </w:tr>
      <w:tr>
        <w:tc>
          <w:tcPr>
            <w:tcW w:type="dxa" w:w="1464"/>
            <w:shd w:fill="D0F0E8" w:val="clear"/>
          </w:tcPr>
          <w:p>
            <w:pPr>
              <w:jc w:val="left"/>
            </w:pPr>
            <w:r/>
            <w:r>
              <w:rPr>
                <w:color w:val="101820"/>
                <w:sz w:val="18"/>
              </w:rPr>
            </w:r>
          </w:p>
        </w:tc>
        <w:tc>
          <w:tcPr>
            <w:tcW w:type="dxa" w:w="1464"/>
            <w:shd w:fill="D0F0E8" w:val="clear"/>
          </w:tcPr>
          <w:p>
            <w:pPr>
              <w:jc w:val="left"/>
            </w:pPr>
            <w:r/>
            <w:r>
              <w:rPr>
                <w:color w:val="101820"/>
                <w:sz w:val="18"/>
              </w:rPr>
            </w:r>
          </w:p>
        </w:tc>
        <w:tc>
          <w:tcPr>
            <w:tcW w:type="dxa" w:w="1464"/>
            <w:shd w:fill="D0F0E8" w:val="clear"/>
          </w:tcPr>
          <w:p>
            <w:pPr>
              <w:jc w:val="left"/>
            </w:pPr>
            <w:r/>
            <w:r>
              <w:rPr>
                <w:color w:val="101820"/>
                <w:sz w:val="18"/>
              </w:rPr>
            </w:r>
          </w:p>
        </w:tc>
        <w:tc>
          <w:tcPr>
            <w:tcW w:type="dxa" w:w="1464"/>
            <w:shd w:fill="D0F0E8" w:val="clear"/>
          </w:tcPr>
          <w:p>
            <w:pPr>
              <w:jc w:val="left"/>
            </w:pPr>
            <w:r/>
            <w:r>
              <w:rPr>
                <w:color w:val="101820"/>
                <w:sz w:val="18"/>
              </w:rPr>
            </w:r>
          </w:p>
        </w:tc>
        <w:tc>
          <w:tcPr>
            <w:tcW w:type="dxa" w:w="1464"/>
            <w:shd w:fill="D0F0E8" w:val="clear"/>
          </w:tcPr>
          <w:p>
            <w:pPr>
              <w:jc w:val="left"/>
            </w:pPr>
            <w:r/>
            <w:r>
              <w:rPr>
                <w:color w:val="101820"/>
                <w:sz w:val="18"/>
              </w:rPr>
              <w:t>24-Month Total</w:t>
            </w:r>
          </w:p>
        </w:tc>
        <w:tc>
          <w:tcPr>
            <w:tcW w:type="dxa" w:w="1464"/>
            <w:shd w:fill="D0F0E8" w:val="clear"/>
          </w:tcPr>
          <w:p>
            <w:pPr>
              <w:jc w:val="left"/>
            </w:pPr>
            <w:r/>
            <w:r>
              <w:rPr>
                <w:color w:val="101820"/>
                <w:sz w:val="18"/>
              </w:rPr>
              <w:t>$25,633</w:t>
            </w:r>
          </w:p>
        </w:tc>
      </w:tr>
    </w:tbl>
    <w:p>
      <w:pPr>
        <w:ind w:left="360"/>
      </w:pPr>
      <w:r>
        <w:t>Note: Monthly figures are indicative/rounded to reconcile with the exact 24-month contract totals (effective rate ≈ $1,875/month all-in).</w:t>
      </w:r>
    </w:p>
    <w:p>
      <w:pPr/>
      <w:r/>
    </w:p>
    <w:p>
      <w:pPr>
        <w:ind w:left="360"/>
      </w:pPr>
      <w:r>
        <w:t>7.3 Summary &amp; Contingency</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4392"/>
        <w:gridCol w:w="4392"/>
      </w:tblGrid>
      <w:tr>
        <w:trPr>
          <w:tblHeader/>
        </w:trPr>
        <w:tc>
          <w:tcPr>
            <w:tcW w:type="dxa" w:w="4392"/>
            <w:shd w:fill="070A40" w:val="clear" w:color="auto"/>
            <w:vAlign w:val="center"/>
          </w:tcPr>
          <w:p>
            <w:pPr>
              <w:jc w:val="center"/>
            </w:pPr>
            <w:r>
              <w:rPr>
                <w:b/>
                <w:color w:val="FFFFFF"/>
              </w:rPr>
            </w:r>
            <w:r>
              <w:rPr>
                <w:b/>
                <w:color w:val="FFFFFF"/>
                <w:sz w:val="18"/>
              </w:rPr>
              <w:t>Category</w:t>
            </w:r>
          </w:p>
        </w:tc>
        <w:tc>
          <w:tcPr>
            <w:tcW w:type="dxa" w:w="4392"/>
            <w:shd w:fill="070A40" w:val="clear" w:color="auto"/>
            <w:vAlign w:val="center"/>
          </w:tcPr>
          <w:p>
            <w:pPr>
              <w:jc w:val="center"/>
            </w:pPr>
            <w:r>
              <w:rPr>
                <w:b/>
                <w:color w:val="FFFFFF"/>
              </w:rPr>
            </w:r>
            <w:r>
              <w:rPr>
                <w:b/>
                <w:color w:val="FFFFFF"/>
                <w:sz w:val="18"/>
              </w:rPr>
              <w:t>Amount (USD)</w:t>
            </w:r>
          </w:p>
        </w:tc>
      </w:tr>
      <w:tr>
        <w:tc>
          <w:tcPr>
            <w:tcW w:type="dxa" w:w="4392"/>
          </w:tcPr>
          <w:p>
            <w:pPr>
              <w:jc w:val="left"/>
            </w:pPr>
            <w:r/>
            <w:r>
              <w:rPr>
                <w:color w:val="101820"/>
                <w:sz w:val="18"/>
              </w:rPr>
              <w:t>Phase 1: Setup &amp; Development (4 weeks)</w:t>
            </w:r>
          </w:p>
        </w:tc>
        <w:tc>
          <w:tcPr>
            <w:tcW w:type="dxa" w:w="4392"/>
          </w:tcPr>
          <w:p>
            <w:pPr>
              <w:jc w:val="left"/>
            </w:pPr>
            <w:r/>
            <w:r>
              <w:rPr>
                <w:color w:val="101820"/>
                <w:sz w:val="18"/>
              </w:rPr>
              <w:t>$13,350</w:t>
            </w:r>
          </w:p>
        </w:tc>
      </w:tr>
      <w:tr>
        <w:tc>
          <w:tcPr>
            <w:tcW w:type="dxa" w:w="4392"/>
            <w:shd w:val="clear" w:color="auto" w:fill="F2F5FA"/>
          </w:tcPr>
          <w:p>
            <w:pPr>
              <w:jc w:val="left"/>
            </w:pPr>
            <w:r/>
            <w:r>
              <w:rPr>
                <w:color w:val="101820"/>
                <w:sz w:val="18"/>
              </w:rPr>
              <w:t>Phase 2: Maintenance &amp; Support (24 months)</w:t>
            </w:r>
          </w:p>
        </w:tc>
        <w:tc>
          <w:tcPr>
            <w:tcW w:type="dxa" w:w="4392"/>
            <w:shd w:val="clear" w:color="auto" w:fill="F2F5FA"/>
          </w:tcPr>
          <w:p>
            <w:pPr>
              <w:jc w:val="left"/>
            </w:pPr>
            <w:r/>
            <w:r>
              <w:rPr>
                <w:color w:val="101820"/>
                <w:sz w:val="18"/>
              </w:rPr>
              <w:t>$25,633</w:t>
            </w:r>
          </w:p>
        </w:tc>
      </w:tr>
      <w:tr>
        <w:tc>
          <w:tcPr>
            <w:tcW w:type="dxa" w:w="4392"/>
          </w:tcPr>
          <w:p>
            <w:pPr>
              <w:jc w:val="left"/>
            </w:pPr>
            <w:r/>
            <w:r>
              <w:rPr>
                <w:color w:val="101820"/>
                <w:sz w:val="18"/>
              </w:rPr>
              <w:t>Reimbursables (travel, testing SIMs, UAT participant incentives)</w:t>
            </w:r>
          </w:p>
        </w:tc>
        <w:tc>
          <w:tcPr>
            <w:tcW w:type="dxa" w:w="4392"/>
          </w:tcPr>
          <w:p>
            <w:pPr>
              <w:jc w:val="left"/>
            </w:pPr>
            <w:r/>
            <w:r>
              <w:rPr>
                <w:color w:val="101820"/>
                <w:sz w:val="18"/>
              </w:rPr>
              <w:t>$1,926</w:t>
            </w:r>
          </w:p>
        </w:tc>
      </w:tr>
      <w:tr>
        <w:tc>
          <w:tcPr>
            <w:tcW w:type="dxa" w:w="4392"/>
            <w:shd w:val="clear" w:color="auto" w:fill="F2F5FA"/>
          </w:tcPr>
          <w:p>
            <w:pPr>
              <w:jc w:val="left"/>
            </w:pPr>
            <w:r/>
            <w:r>
              <w:rPr>
                <w:color w:val="101820"/>
                <w:sz w:val="18"/>
              </w:rPr>
              <w:t>Subtotal</w:t>
            </w:r>
          </w:p>
        </w:tc>
        <w:tc>
          <w:tcPr>
            <w:tcW w:type="dxa" w:w="4392"/>
            <w:shd w:val="clear" w:color="auto" w:fill="F2F5FA"/>
          </w:tcPr>
          <w:p>
            <w:pPr>
              <w:jc w:val="left"/>
            </w:pPr>
            <w:r/>
            <w:r>
              <w:rPr>
                <w:color w:val="101820"/>
                <w:sz w:val="18"/>
              </w:rPr>
              <w:t>$40,909</w:t>
            </w:r>
          </w:p>
        </w:tc>
      </w:tr>
      <w:tr>
        <w:tc>
          <w:tcPr>
            <w:tcW w:type="dxa" w:w="4392"/>
          </w:tcPr>
          <w:p>
            <w:pPr>
              <w:jc w:val="left"/>
            </w:pPr>
            <w:r/>
            <w:r>
              <w:rPr>
                <w:color w:val="101820"/>
                <w:sz w:val="18"/>
              </w:rPr>
              <w:t>Contingency (10%)</w:t>
            </w:r>
          </w:p>
        </w:tc>
        <w:tc>
          <w:tcPr>
            <w:tcW w:type="dxa" w:w="4392"/>
          </w:tcPr>
          <w:p>
            <w:pPr>
              <w:jc w:val="left"/>
            </w:pPr>
            <w:r/>
            <w:r>
              <w:rPr>
                <w:color w:val="101820"/>
                <w:sz w:val="18"/>
              </w:rPr>
              <w:t>$4,091</w:t>
            </w:r>
          </w:p>
        </w:tc>
      </w:tr>
      <w:tr>
        <w:tc>
          <w:tcPr>
            <w:tcW w:type="dxa" w:w="4392"/>
            <w:shd w:fill="F2F5FA" w:val="clear" w:color="auto"/>
          </w:tcPr>
          <w:p>
            <w:pPr>
              <w:jc w:val="left"/>
            </w:pPr>
            <w:r/>
            <w:r>
              <w:rPr>
                <w:color w:val="101820"/>
                <w:sz w:val="18"/>
              </w:rPr>
              <w:t>TOTAL ENGAGEMENT VALUE</w:t>
            </w:r>
          </w:p>
        </w:tc>
        <w:tc>
          <w:tcPr>
            <w:tcW w:type="dxa" w:w="4392"/>
            <w:shd w:fill="F2F5FA" w:val="clear" w:color="auto"/>
          </w:tcPr>
          <w:p>
            <w:pPr>
              <w:jc w:val="left"/>
            </w:pPr>
            <w:r/>
            <w:r>
              <w:rPr>
                <w:color w:val="101820"/>
                <w:sz w:val="18"/>
              </w:rPr>
              <w:t>$45,000</w:t>
            </w:r>
          </w:p>
        </w:tc>
      </w:tr>
    </w:tbl>
    <w:p>
      <w:pPr/>
      <w:r/>
    </w:p>
    <w:p>
      <w:pPr>
        <w:ind w:left="360"/>
      </w:pPr>
      <w:r>
        <w:t>7.4 Payment Schedule</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196"/>
        <w:gridCol w:w="2196"/>
        <w:gridCol w:w="2196"/>
        <w:gridCol w:w="2196"/>
      </w:tblGrid>
      <w:tr>
        <w:trPr>
          <w:tblHeader/>
        </w:trPr>
        <w:tc>
          <w:tcPr>
            <w:tcW w:type="dxa" w:w="2196"/>
            <w:shd w:fill="070A40" w:val="clear" w:color="auto"/>
            <w:vAlign w:val="center"/>
          </w:tcPr>
          <w:p>
            <w:pPr>
              <w:jc w:val="center"/>
            </w:pPr>
            <w:r>
              <w:rPr>
                <w:b/>
                <w:color w:val="FFFFFF"/>
              </w:rPr>
            </w:r>
            <w:r>
              <w:rPr>
                <w:b/>
                <w:color w:val="FFFFFF"/>
                <w:sz w:val="18"/>
              </w:rPr>
              <w:t>Payment</w:t>
            </w:r>
          </w:p>
        </w:tc>
        <w:tc>
          <w:tcPr>
            <w:tcW w:type="dxa" w:w="2196"/>
            <w:shd w:fill="070A40" w:val="clear" w:color="auto"/>
            <w:vAlign w:val="center"/>
          </w:tcPr>
          <w:p>
            <w:pPr>
              <w:jc w:val="center"/>
            </w:pPr>
            <w:r>
              <w:rPr>
                <w:b/>
                <w:color w:val="FFFFFF"/>
              </w:rPr>
            </w:r>
            <w:r>
              <w:rPr>
                <w:b/>
                <w:color w:val="FFFFFF"/>
                <w:sz w:val="18"/>
              </w:rPr>
              <w:t>Timing</w:t>
            </w:r>
          </w:p>
        </w:tc>
        <w:tc>
          <w:tcPr>
            <w:tcW w:type="dxa" w:w="2196"/>
            <w:shd w:fill="070A40" w:val="clear" w:color="auto"/>
            <w:vAlign w:val="center"/>
          </w:tcPr>
          <w:p>
            <w:pPr>
              <w:jc w:val="center"/>
            </w:pPr>
            <w:r>
              <w:rPr>
                <w:b/>
                <w:color w:val="FFFFFF"/>
              </w:rPr>
            </w:r>
            <w:r>
              <w:rPr>
                <w:b/>
                <w:color w:val="FFFFFF"/>
                <w:sz w:val="18"/>
              </w:rPr>
              <w:t>Amount (USD)</w:t>
            </w:r>
          </w:p>
        </w:tc>
        <w:tc>
          <w:tcPr>
            <w:tcW w:type="dxa" w:w="2196"/>
            <w:shd w:fill="070A40" w:val="clear" w:color="auto"/>
            <w:vAlign w:val="center"/>
          </w:tcPr>
          <w:p>
            <w:pPr>
              <w:jc w:val="center"/>
            </w:pPr>
            <w:r>
              <w:rPr>
                <w:b/>
                <w:color w:val="FFFFFF"/>
              </w:rPr>
            </w:r>
            <w:r>
              <w:rPr>
                <w:b/>
                <w:color w:val="FFFFFF"/>
                <w:sz w:val="18"/>
              </w:rPr>
              <w:t>% of Total</w:t>
            </w:r>
          </w:p>
        </w:tc>
      </w:tr>
      <w:tr>
        <w:tc>
          <w:tcPr>
            <w:tcW w:type="dxa" w:w="2196"/>
            <w:shd w:fill="D0F0E8" w:val="clear"/>
          </w:tcPr>
          <w:p>
            <w:pPr>
              <w:jc w:val="left"/>
            </w:pPr>
            <w:r/>
            <w:r>
              <w:rPr>
                <w:color w:val="101820"/>
                <w:sz w:val="18"/>
              </w:rPr>
              <w:t>Payment 1 – Contract Signing</w:t>
            </w:r>
          </w:p>
        </w:tc>
        <w:tc>
          <w:tcPr>
            <w:tcW w:type="dxa" w:w="2196"/>
            <w:shd w:fill="D0F0E8" w:val="clear"/>
          </w:tcPr>
          <w:p>
            <w:pPr>
              <w:jc w:val="left"/>
            </w:pPr>
            <w:r/>
            <w:r>
              <w:rPr>
                <w:color w:val="101820"/>
                <w:sz w:val="18"/>
              </w:rPr>
              <w:t>Day 0</w:t>
            </w:r>
          </w:p>
        </w:tc>
        <w:tc>
          <w:tcPr>
            <w:tcW w:type="dxa" w:w="2196"/>
            <w:shd w:fill="D0F0E8" w:val="clear"/>
          </w:tcPr>
          <w:p>
            <w:pPr>
              <w:jc w:val="left"/>
            </w:pPr>
            <w:r/>
            <w:r>
              <w:rPr>
                <w:color w:val="101820"/>
                <w:sz w:val="18"/>
              </w:rPr>
              <w:t>$18,000</w:t>
            </w:r>
          </w:p>
        </w:tc>
        <w:tc>
          <w:tcPr>
            <w:tcW w:type="dxa" w:w="2196"/>
            <w:shd w:fill="D0F0E8" w:val="clear"/>
          </w:tcPr>
          <w:p>
            <w:pPr>
              <w:jc w:val="left"/>
            </w:pPr>
            <w:r/>
            <w:r>
              <w:rPr>
                <w:color w:val="101820"/>
                <w:sz w:val="18"/>
              </w:rPr>
              <w:t>40%</w:t>
            </w:r>
          </w:p>
        </w:tc>
      </w:tr>
      <w:tr>
        <w:tc>
          <w:tcPr>
            <w:tcW w:type="dxa" w:w="2196"/>
            <w:shd w:fill="F2F5FA" w:val="clear" w:color="auto"/>
          </w:tcPr>
          <w:p>
            <w:pPr>
              <w:jc w:val="left"/>
            </w:pPr>
            <w:r/>
            <w:r>
              <w:rPr>
                <w:color w:val="101820"/>
                <w:sz w:val="18"/>
              </w:rPr>
              <w:t>Payment 2 – Go-Live</w:t>
            </w:r>
          </w:p>
        </w:tc>
        <w:tc>
          <w:tcPr>
            <w:tcW w:type="dxa" w:w="2196"/>
            <w:shd w:fill="F2F5FA" w:val="clear" w:color="auto"/>
          </w:tcPr>
          <w:p>
            <w:pPr>
              <w:jc w:val="left"/>
            </w:pPr>
            <w:r/>
            <w:r>
              <w:rPr>
                <w:color w:val="101820"/>
                <w:sz w:val="18"/>
              </w:rPr>
              <w:t>End of Week 4</w:t>
            </w:r>
          </w:p>
        </w:tc>
        <w:tc>
          <w:tcPr>
            <w:tcW w:type="dxa" w:w="2196"/>
            <w:shd w:fill="F2F5FA" w:val="clear" w:color="auto"/>
          </w:tcPr>
          <w:p>
            <w:pPr>
              <w:jc w:val="left"/>
            </w:pPr>
            <w:r/>
            <w:r>
              <w:rPr>
                <w:color w:val="101820"/>
                <w:sz w:val="18"/>
              </w:rPr>
              <w:t>$9,000</w:t>
            </w:r>
          </w:p>
        </w:tc>
        <w:tc>
          <w:tcPr>
            <w:tcW w:type="dxa" w:w="2196"/>
            <w:shd w:fill="F2F5FA" w:val="clear" w:color="auto"/>
          </w:tcPr>
          <w:p>
            <w:pPr>
              <w:jc w:val="left"/>
            </w:pPr>
            <w:r/>
            <w:r>
              <w:rPr>
                <w:color w:val="101820"/>
                <w:sz w:val="18"/>
              </w:rPr>
              <w:t>20%</w:t>
            </w:r>
          </w:p>
        </w:tc>
      </w:tr>
      <w:tr>
        <w:tc>
          <w:tcPr>
            <w:tcW w:type="dxa" w:w="2196"/>
          </w:tcPr>
          <w:p>
            <w:pPr>
              <w:jc w:val="left"/>
            </w:pPr>
            <w:r/>
            <w:r>
              <w:rPr>
                <w:color w:val="101820"/>
                <w:sz w:val="18"/>
              </w:rPr>
              <w:t>Payments 3–26 – Monthly Maintenance</w:t>
            </w:r>
          </w:p>
        </w:tc>
        <w:tc>
          <w:tcPr>
            <w:tcW w:type="dxa" w:w="2196"/>
          </w:tcPr>
          <w:p>
            <w:pPr>
              <w:jc w:val="left"/>
            </w:pPr>
            <w:r/>
            <w:r>
              <w:rPr>
                <w:color w:val="101820"/>
                <w:sz w:val="18"/>
              </w:rPr>
              <w:t>Months 1–24</w:t>
            </w:r>
          </w:p>
        </w:tc>
        <w:tc>
          <w:tcPr>
            <w:tcW w:type="dxa" w:w="2196"/>
          </w:tcPr>
          <w:p>
            <w:pPr>
              <w:jc w:val="left"/>
            </w:pPr>
            <w:r/>
            <w:r>
              <w:rPr>
                <w:color w:val="101820"/>
                <w:sz w:val="18"/>
              </w:rPr>
              <w:t>$750/month</w:t>
            </w:r>
          </w:p>
        </w:tc>
        <w:tc>
          <w:tcPr>
            <w:tcW w:type="dxa" w:w="2196"/>
          </w:tcPr>
          <w:p>
            <w:pPr>
              <w:jc w:val="left"/>
            </w:pPr>
            <w:r/>
            <w:r>
              <w:rPr>
                <w:color w:val="101820"/>
                <w:sz w:val="18"/>
              </w:rPr>
              <w:t>40% (× 24)</w:t>
            </w:r>
          </w:p>
        </w:tc>
      </w:tr>
    </w:tbl>
    <w:p>
      <w:r>
        <w:br w:type="page"/>
      </w:r>
    </w:p>
    <w:p>
      <w:pPr>
        <w:ind w:left="360"/>
      </w:pPr>
      <w:r>
        <w:t>8. Data Privacy &amp; Security Plan</w:t>
      </w:r>
    </w:p>
    <w:p>
      <w:pPr>
        <w:ind w:left="360"/>
      </w:pPr>
      <w:r>
        <w:t>Light Speed Holdings takes data privacy seriously, particularly for health-related USSD services serving vulnerable populations. Our security approach aligns with VillageReach data governance requirements and international standards.</w:t>
      </w:r>
    </w:p>
    <w:p>
      <w:pPr>
        <w:ind w:left="360"/>
      </w:pPr>
      <w:r>
        <w:t>Data Protection Measures</w:t>
      </w:r>
    </w:p>
    <w:p>
      <w:pPr>
        <w:pStyle w:val="ListBullet"/>
        <w:spacing w:after="40" w:before="0"/>
      </w:pPr>
      <w:r>
        <w:rPr>
          <w:color w:val="101820"/>
          <w:sz w:val="20"/>
        </w:rPr>
        <w:t>USSD data minimization: Collect only the minimum data required for service delivery; no personally identifiable information (PII) stored on USSD screens unless explicitly authorized.</w:t>
      </w:r>
    </w:p>
    <w:p>
      <w:pPr>
        <w:pStyle w:val="ListBullet"/>
        <w:spacing w:after="40" w:before="0"/>
      </w:pPr>
      <w:r>
        <w:rPr>
          <w:color w:val="101820"/>
          <w:sz w:val="20"/>
        </w:rPr>
        <w:t>Encryption: All data in transit encrypted via TLS 1.3; REST API endpoints secured with OAuth 2.0 token authentication.</w:t>
      </w:r>
    </w:p>
    <w:p>
      <w:pPr>
        <w:pStyle w:val="ListBullet"/>
        <w:spacing w:after="40" w:before="0"/>
      </w:pPr>
      <w:r>
        <w:rPr>
          <w:color w:val="101820"/>
          <w:sz w:val="20"/>
        </w:rPr>
        <w:t>Access controls: Role-based access control (RBAC) for all system components; principle of least privilege enforced.</w:t>
      </w:r>
    </w:p>
    <w:p>
      <w:pPr>
        <w:pStyle w:val="ListBullet"/>
        <w:spacing w:after="40" w:before="0"/>
      </w:pPr>
      <w:r>
        <w:rPr>
          <w:color w:val="101820"/>
          <w:sz w:val="20"/>
        </w:rPr>
        <w:t>Audit logging: Complete audit trail of all data access and modifications; logs retained for 12 months per VillageReach policy.</w:t>
      </w:r>
    </w:p>
    <w:p>
      <w:pPr>
        <w:pStyle w:val="ListBullet"/>
        <w:spacing w:after="40" w:before="0"/>
      </w:pPr>
      <w:r>
        <w:rPr>
          <w:color w:val="101820"/>
          <w:sz w:val="20"/>
        </w:rPr>
        <w:t>Data retention: USSD interaction logs retained for 24 months (engagement duration) then securely deleted; no permanent storage of user phone numbers.</w:t>
      </w:r>
    </w:p>
    <w:p>
      <w:pPr>
        <w:pStyle w:val="ListBullet"/>
        <w:spacing w:after="40" w:before="0"/>
      </w:pPr>
      <w:r>
        <w:rPr>
          <w:color w:val="101820"/>
          <w:sz w:val="20"/>
        </w:rPr>
        <w:t>Incident response: Documented incident response plan with 24-hour notification commitment for any data breach affecting VillageReach systems.</w:t>
      </w:r>
    </w:p>
    <w:p>
      <w:pPr>
        <w:pStyle w:val="ListBullet"/>
        <w:spacing w:after="40" w:before="0"/>
      </w:pPr>
      <w:r>
        <w:rPr>
          <w:color w:val="101820"/>
          <w:sz w:val="20"/>
        </w:rPr>
        <w:t>Compliance: Alignment with Malawi Data Protection Act (2024), GDPR best practices, and VillageReach internal data governance policies.</w:t>
      </w:r>
    </w:p>
    <w:p>
      <w:pPr>
        <w:ind w:left="360"/>
      </w:pPr>
      <w:r>
        <w:t>Security Architecture</w:t>
      </w:r>
    </w:p>
    <w:p>
      <w:pPr>
        <w:pStyle w:val="ListBullet"/>
        <w:spacing w:after="40" w:before="0"/>
      </w:pPr>
      <w:r>
        <w:rPr>
          <w:color w:val="101820"/>
          <w:sz w:val="20"/>
        </w:rPr>
        <w:t>REST API hosted on hardened Linux servers with automated security patching.</w:t>
      </w:r>
    </w:p>
    <w:p>
      <w:pPr>
        <w:pStyle w:val="ListBullet"/>
        <w:spacing w:after="40" w:before="0"/>
      </w:pPr>
      <w:r>
        <w:rPr>
          <w:color w:val="101820"/>
          <w:sz w:val="20"/>
        </w:rPr>
        <w:t>Database encryption at rest using AES-256.</w:t>
      </w:r>
    </w:p>
    <w:p>
      <w:pPr>
        <w:pStyle w:val="ListBullet"/>
        <w:spacing w:after="40" w:before="0"/>
      </w:pPr>
      <w:r>
        <w:rPr>
          <w:color w:val="101820"/>
          <w:sz w:val="20"/>
        </w:rPr>
        <w:t>Daily automated backups with 30-day retention.</w:t>
      </w:r>
    </w:p>
    <w:p>
      <w:pPr>
        <w:pStyle w:val="ListBullet"/>
        <w:spacing w:after="40" w:before="0"/>
      </w:pPr>
      <w:r>
        <w:rPr>
          <w:color w:val="101820"/>
          <w:sz w:val="20"/>
        </w:rPr>
        <w:t>Network monitoring and intrusion detection systems active 24/7.</w:t>
      </w:r>
    </w:p>
    <w:p>
      <w:pPr>
        <w:pStyle w:val="ListBullet"/>
        <w:spacing w:after="40" w:before="0"/>
      </w:pPr>
      <w:r>
        <w:rPr>
          <w:color w:val="101820"/>
          <w:sz w:val="20"/>
        </w:rPr>
        <w:t>Quarterly security audits and penetration testing.</w:t>
      </w:r>
    </w:p>
    <w:p>
      <w:r>
        <w:br w:type="page"/>
      </w:r>
    </w:p>
    <w:p>
      <w:pPr>
        <w:ind w:left="360"/>
      </w:pPr>
      <w:r>
        <w:t>9. Risk Register &amp; Mitigation</w:t>
      </w:r>
    </w:p>
    <w:tbl>
      <w:tblPr>
        <w:tblStyle w:val="TableGrid"/>
        <w:tblW w:type="dxa" w:w="8784"/>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196"/>
        <w:gridCol w:w="2196"/>
        <w:gridCol w:w="2196"/>
        <w:gridCol w:w="2196"/>
      </w:tblGrid>
      <w:tr>
        <w:trPr>
          <w:tblHeader/>
        </w:trPr>
        <w:tc>
          <w:tcPr>
            <w:tcW w:type="dxa" w:w="2196"/>
            <w:shd w:fill="070A40" w:val="clear" w:color="auto"/>
            <w:vAlign w:val="center"/>
          </w:tcPr>
          <w:p>
            <w:pPr>
              <w:jc w:val="center"/>
            </w:pPr>
            <w:r>
              <w:rPr>
                <w:b/>
                <w:color w:val="FFFFFF"/>
              </w:rPr>
            </w:r>
            <w:r>
              <w:rPr>
                <w:b/>
                <w:color w:val="FFFFFF"/>
                <w:sz w:val="18"/>
              </w:rPr>
              <w:t>Risk</w:t>
            </w:r>
          </w:p>
        </w:tc>
        <w:tc>
          <w:tcPr>
            <w:tcW w:type="dxa" w:w="2196"/>
            <w:shd w:fill="070A40" w:val="clear" w:color="auto"/>
            <w:vAlign w:val="center"/>
          </w:tcPr>
          <w:p>
            <w:pPr>
              <w:jc w:val="center"/>
            </w:pPr>
            <w:r>
              <w:rPr>
                <w:b/>
                <w:color w:val="FFFFFF"/>
              </w:rPr>
            </w:r>
            <w:r>
              <w:rPr>
                <w:b/>
                <w:color w:val="FFFFFF"/>
                <w:sz w:val="18"/>
              </w:rPr>
              <w:t>Likelihood</w:t>
            </w:r>
          </w:p>
        </w:tc>
        <w:tc>
          <w:tcPr>
            <w:tcW w:type="dxa" w:w="2196"/>
            <w:shd w:fill="070A40" w:val="clear" w:color="auto"/>
            <w:vAlign w:val="center"/>
          </w:tcPr>
          <w:p>
            <w:pPr>
              <w:jc w:val="center"/>
            </w:pPr>
            <w:r>
              <w:rPr>
                <w:b/>
                <w:color w:val="FFFFFF"/>
              </w:rPr>
            </w:r>
            <w:r>
              <w:rPr>
                <w:b/>
                <w:color w:val="FFFFFF"/>
                <w:sz w:val="18"/>
              </w:rPr>
              <w:t>Impact</w:t>
            </w:r>
          </w:p>
        </w:tc>
        <w:tc>
          <w:tcPr>
            <w:tcW w:type="dxa" w:w="2196"/>
            <w:shd w:fill="070A40" w:val="clear" w:color="auto"/>
            <w:vAlign w:val="center"/>
          </w:tcPr>
          <w:p>
            <w:pPr>
              <w:jc w:val="center"/>
            </w:pPr>
            <w:r>
              <w:rPr>
                <w:b/>
                <w:color w:val="FFFFFF"/>
              </w:rPr>
            </w:r>
            <w:r>
              <w:rPr>
                <w:b/>
                <w:color w:val="FFFFFF"/>
                <w:sz w:val="18"/>
              </w:rPr>
              <w:t>Mitigation</w:t>
            </w:r>
          </w:p>
        </w:tc>
      </w:tr>
      <w:tr>
        <w:tc>
          <w:tcPr>
            <w:tcW w:type="dxa" w:w="2196"/>
            <w:shd w:fill="D0F0E8" w:val="clear"/>
          </w:tcPr>
          <w:p>
            <w:pPr>
              <w:jc w:val="left"/>
            </w:pPr>
            <w:r/>
            <w:r>
              <w:rPr>
                <w:color w:val="101820"/>
                <w:sz w:val="18"/>
              </w:rPr>
              <w:t>USSD gateway downtime (TNM/Airtel)</w:t>
            </w:r>
          </w:p>
        </w:tc>
        <w:tc>
          <w:tcPr>
            <w:tcW w:type="dxa" w:w="2196"/>
            <w:shd w:fill="D0F0E8" w:val="clear"/>
          </w:tcPr>
          <w:p>
            <w:pPr>
              <w:jc w:val="left"/>
            </w:pPr>
            <w:r/>
            <w:r>
              <w:rPr>
                <w:color w:val="101820"/>
                <w:sz w:val="18"/>
              </w:rPr>
              <w:t>Medium</w:t>
            </w:r>
          </w:p>
        </w:tc>
        <w:tc>
          <w:tcPr>
            <w:tcW w:type="dxa" w:w="2196"/>
            <w:shd w:fill="D0F0E8" w:val="clear"/>
          </w:tcPr>
          <w:p>
            <w:pPr>
              <w:jc w:val="left"/>
            </w:pPr>
            <w:r/>
            <w:r>
              <w:rPr>
                <w:color w:val="101820"/>
                <w:sz w:val="18"/>
              </w:rPr>
              <w:t>High</w:t>
            </w:r>
          </w:p>
        </w:tc>
        <w:tc>
          <w:tcPr>
            <w:tcW w:type="dxa" w:w="2196"/>
            <w:shd w:fill="D0F0E8" w:val="clear"/>
          </w:tcPr>
          <w:p>
            <w:pPr>
              <w:jc w:val="left"/>
            </w:pPr>
            <w:r/>
            <w:r>
              <w:rPr>
                <w:color w:val="101820"/>
                <w:sz w:val="18"/>
              </w:rPr>
              <w:t>Dual-network redundancy; proactive monitoring; escalation SLA with both carriers</w:t>
            </w:r>
          </w:p>
        </w:tc>
      </w:tr>
      <w:tr>
        <w:tc>
          <w:tcPr>
            <w:tcW w:type="dxa" w:w="2196"/>
            <w:shd w:val="clear" w:color="auto" w:fill="F2F5FA"/>
          </w:tcPr>
          <w:p>
            <w:pPr>
              <w:jc w:val="left"/>
            </w:pPr>
            <w:r/>
            <w:r>
              <w:rPr>
                <w:color w:val="101820"/>
                <w:sz w:val="18"/>
              </w:rPr>
              <w:t>Low UAT participation (&lt;20 users)</w:t>
            </w:r>
          </w:p>
        </w:tc>
        <w:tc>
          <w:tcPr>
            <w:tcW w:type="dxa" w:w="2196"/>
            <w:shd w:val="clear" w:color="auto" w:fill="F2F5FA"/>
          </w:tcPr>
          <w:p>
            <w:pPr>
              <w:jc w:val="left"/>
            </w:pPr>
            <w:r/>
            <w:r>
              <w:rPr>
                <w:color w:val="101820"/>
                <w:sz w:val="18"/>
              </w:rPr>
              <w:t>Low</w:t>
            </w:r>
          </w:p>
        </w:tc>
        <w:tc>
          <w:tcPr>
            <w:tcW w:type="dxa" w:w="2196"/>
            <w:shd w:val="clear" w:color="auto" w:fill="F2F5FA"/>
          </w:tcPr>
          <w:p>
            <w:pPr>
              <w:jc w:val="left"/>
            </w:pPr>
            <w:r/>
            <w:r>
              <w:rPr>
                <w:color w:val="101820"/>
                <w:sz w:val="18"/>
              </w:rPr>
              <w:t>Medium</w:t>
            </w:r>
          </w:p>
        </w:tc>
        <w:tc>
          <w:tcPr>
            <w:tcW w:type="dxa" w:w="2196"/>
            <w:shd w:val="clear" w:color="auto" w:fill="F2F5FA"/>
          </w:tcPr>
          <w:p>
            <w:pPr>
              <w:jc w:val="left"/>
            </w:pPr>
            <w:r/>
            <w:r>
              <w:rPr>
                <w:color w:val="101820"/>
                <w:sz w:val="18"/>
              </w:rPr>
              <w:t>Pre-recruit 30 UAT participants; incentives (airtime top-up); backup testing dates</w:t>
            </w:r>
          </w:p>
        </w:tc>
      </w:tr>
      <w:tr>
        <w:tc>
          <w:tcPr>
            <w:tcW w:type="dxa" w:w="2196"/>
          </w:tcPr>
          <w:p>
            <w:pPr>
              <w:jc w:val="left"/>
            </w:pPr>
            <w:r/>
            <w:r>
              <w:rPr>
                <w:color w:val="101820"/>
                <w:sz w:val="18"/>
              </w:rPr>
              <w:t>Chichewa content ambiguity</w:t>
            </w:r>
          </w:p>
        </w:tc>
        <w:tc>
          <w:tcPr>
            <w:tcW w:type="dxa" w:w="2196"/>
          </w:tcPr>
          <w:p>
            <w:pPr>
              <w:jc w:val="left"/>
            </w:pPr>
            <w:r/>
            <w:r>
              <w:rPr>
                <w:color w:val="101820"/>
                <w:sz w:val="18"/>
              </w:rPr>
              <w:t>Medium</w:t>
            </w:r>
          </w:p>
        </w:tc>
        <w:tc>
          <w:tcPr>
            <w:tcW w:type="dxa" w:w="2196"/>
          </w:tcPr>
          <w:p>
            <w:pPr>
              <w:jc w:val="left"/>
            </w:pPr>
            <w:r/>
            <w:r>
              <w:rPr>
                <w:color w:val="101820"/>
                <w:sz w:val="18"/>
              </w:rPr>
              <w:t>Medium</w:t>
            </w:r>
          </w:p>
        </w:tc>
        <w:tc>
          <w:tcPr>
            <w:tcW w:type="dxa" w:w="2196"/>
          </w:tcPr>
          <w:p>
            <w:pPr>
              <w:jc w:val="left"/>
            </w:pPr>
            <w:r/>
            <w:r>
              <w:rPr>
                <w:color w:val="101820"/>
                <w:sz w:val="18"/>
              </w:rPr>
              <w:t>Local language specialist on team; community review sessions; iterative refinement</w:t>
            </w:r>
          </w:p>
        </w:tc>
      </w:tr>
      <w:tr>
        <w:tc>
          <w:tcPr>
            <w:tcW w:type="dxa" w:w="2196"/>
            <w:shd w:fill="F2F5FA" w:val="clear" w:color="auto"/>
          </w:tcPr>
          <w:p>
            <w:pPr>
              <w:jc w:val="left"/>
            </w:pPr>
            <w:r/>
            <w:r>
              <w:rPr>
                <w:color w:val="101820"/>
                <w:sz w:val="18"/>
              </w:rPr>
              <w:t>Data pipeline integration delays</w:t>
            </w:r>
          </w:p>
        </w:tc>
        <w:tc>
          <w:tcPr>
            <w:tcW w:type="dxa" w:w="2196"/>
            <w:shd w:fill="F2F5FA" w:val="clear" w:color="auto"/>
          </w:tcPr>
          <w:p>
            <w:pPr>
              <w:jc w:val="left"/>
            </w:pPr>
            <w:r/>
            <w:r>
              <w:rPr>
                <w:color w:val="101820"/>
                <w:sz w:val="18"/>
              </w:rPr>
              <w:t>Low</w:t>
            </w:r>
          </w:p>
        </w:tc>
        <w:tc>
          <w:tcPr>
            <w:tcW w:type="dxa" w:w="2196"/>
            <w:shd w:fill="F2F5FA" w:val="clear" w:color="auto"/>
          </w:tcPr>
          <w:p>
            <w:pPr>
              <w:jc w:val="left"/>
            </w:pPr>
            <w:r/>
            <w:r>
              <w:rPr>
                <w:color w:val="101820"/>
                <w:sz w:val="18"/>
              </w:rPr>
              <w:t>High</w:t>
            </w:r>
          </w:p>
        </w:tc>
        <w:tc>
          <w:tcPr>
            <w:tcW w:type="dxa" w:w="2196"/>
            <w:shd w:fill="F2F5FA" w:val="clear" w:color="auto"/>
          </w:tcPr>
          <w:p>
            <w:pPr>
              <w:jc w:val="left"/>
            </w:pPr>
            <w:r/>
            <w:r>
              <w:rPr>
                <w:color w:val="101820"/>
                <w:sz w:val="18"/>
              </w:rPr>
              <w:t>API-first design; mock endpoints for parallel development; integration testing in Week 2</w:t>
            </w:r>
          </w:p>
        </w:tc>
      </w:tr>
      <w:tr>
        <w:tc>
          <w:tcPr>
            <w:tcW w:type="dxa" w:w="2196"/>
          </w:tcPr>
          <w:p>
            <w:pPr>
              <w:jc w:val="left"/>
            </w:pPr>
            <w:r/>
            <w:r>
              <w:rPr>
                <w:color w:val="101820"/>
                <w:sz w:val="18"/>
              </w:rPr>
              <w:t>Scope creep on menu content</w:t>
            </w:r>
          </w:p>
        </w:tc>
        <w:tc>
          <w:tcPr>
            <w:tcW w:type="dxa" w:w="2196"/>
          </w:tcPr>
          <w:p>
            <w:pPr>
              <w:jc w:val="left"/>
            </w:pPr>
            <w:r/>
            <w:r>
              <w:rPr>
                <w:color w:val="101820"/>
                <w:sz w:val="18"/>
              </w:rPr>
              <w:t>Medium</w:t>
            </w:r>
          </w:p>
        </w:tc>
        <w:tc>
          <w:tcPr>
            <w:tcW w:type="dxa" w:w="2196"/>
          </w:tcPr>
          <w:p>
            <w:pPr>
              <w:jc w:val="left"/>
            </w:pPr>
            <w:r/>
            <w:r>
              <w:rPr>
                <w:color w:val="101820"/>
                <w:sz w:val="18"/>
              </w:rPr>
              <w:t>Medium</w:t>
            </w:r>
          </w:p>
        </w:tc>
        <w:tc>
          <w:tcPr>
            <w:tcW w:type="dxa" w:w="2196"/>
          </w:tcPr>
          <w:p>
            <w:pPr>
              <w:jc w:val="left"/>
            </w:pPr>
            <w:r/>
            <w:r>
              <w:rPr>
                <w:color w:val="101820"/>
                <w:sz w:val="18"/>
              </w:rPr>
              <w:t>Change request process; MWK 60,000/hour for out-of-scope work; weekly scope check-ins</w:t>
            </w:r>
          </w:p>
        </w:tc>
      </w:tr>
      <w:tr>
        <w:tc>
          <w:tcPr>
            <w:tcW w:type="dxa" w:w="2196"/>
            <w:shd w:val="clear" w:color="auto" w:fill="F2F5FA"/>
          </w:tcPr>
          <w:p>
            <w:pPr>
              <w:jc w:val="left"/>
            </w:pPr>
            <w:r/>
            <w:r>
              <w:rPr>
                <w:color w:val="101820"/>
                <w:sz w:val="18"/>
              </w:rPr>
              <w:t>Key personnel unavailability</w:t>
            </w:r>
          </w:p>
        </w:tc>
        <w:tc>
          <w:tcPr>
            <w:tcW w:type="dxa" w:w="2196"/>
            <w:shd w:val="clear" w:color="auto" w:fill="F2F5FA"/>
          </w:tcPr>
          <w:p>
            <w:pPr>
              <w:jc w:val="left"/>
            </w:pPr>
            <w:r/>
            <w:r>
              <w:rPr>
                <w:color w:val="101820"/>
                <w:sz w:val="18"/>
              </w:rPr>
              <w:t>Low</w:t>
            </w:r>
          </w:p>
        </w:tc>
        <w:tc>
          <w:tcPr>
            <w:tcW w:type="dxa" w:w="2196"/>
            <w:shd w:val="clear" w:color="auto" w:fill="F2F5FA"/>
          </w:tcPr>
          <w:p>
            <w:pPr>
              <w:jc w:val="left"/>
            </w:pPr>
            <w:r/>
            <w:r>
              <w:rPr>
                <w:color w:val="101820"/>
                <w:sz w:val="18"/>
              </w:rPr>
              <w:t>High</w:t>
            </w:r>
          </w:p>
        </w:tc>
        <w:tc>
          <w:tcPr>
            <w:tcW w:type="dxa" w:w="2196"/>
            <w:shd w:val="clear" w:color="auto" w:fill="F2F5FA"/>
          </w:tcPr>
          <w:p>
            <w:pPr>
              <w:jc w:val="left"/>
            </w:pPr>
            <w:r/>
            <w:r>
              <w:rPr>
                <w:color w:val="101820"/>
                <w:sz w:val="18"/>
              </w:rPr>
              <w:t>Cross-trained team members; documented handover procedures; 48-hour coverage guarantee</w:t>
            </w:r>
          </w:p>
        </w:tc>
      </w:tr>
    </w:tbl>
    <w:p>
      <w:r>
        <w:br w:type="page"/>
      </w:r>
    </w:p>
    <w:p>
      <w:pPr>
        <w:ind w:left="360"/>
      </w:pPr>
      <w:r>
        <w:t>10. Terms &amp; Conditions</w:t>
      </w:r>
    </w:p>
    <w:p>
      <w:pPr>
        <w:ind w:left="360"/>
      </w:pPr>
      <w:r>
        <w:t>Payment Terms</w:t>
      </w:r>
    </w:p>
    <w:p>
      <w:pPr>
        <w:pStyle w:val="ListBullet"/>
        <w:spacing w:after="40" w:before="0"/>
      </w:pPr>
      <w:r>
        <w:rPr>
          <w:color w:val="101820"/>
          <w:sz w:val="20"/>
        </w:rPr>
        <w:t>Currency: All amounts quoted in USD. MWK equivalent at prevailing exchange rate at time of invoice.</w:t>
      </w:r>
    </w:p>
    <w:p>
      <w:pPr>
        <w:pStyle w:val="ListBullet"/>
        <w:spacing w:after="40" w:before="0"/>
      </w:pPr>
      <w:r>
        <w:rPr>
          <w:color w:val="101820"/>
          <w:sz w:val="20"/>
        </w:rPr>
        <w:t>Payment schedule: 40% at contract signing, 20% at go-live, 40% in monthly installments during maintenance.</w:t>
      </w:r>
    </w:p>
    <w:p>
      <w:pPr>
        <w:pStyle w:val="ListBullet"/>
        <w:spacing w:after="40" w:before="0"/>
      </w:pPr>
      <w:r>
        <w:rPr>
          <w:color w:val="101820"/>
          <w:sz w:val="20"/>
        </w:rPr>
        <w:t>Payment window: Net 30 days from invoice date.</w:t>
      </w:r>
    </w:p>
    <w:p>
      <w:pPr>
        <w:pStyle w:val="ListBullet"/>
        <w:spacing w:after="40" w:before="0"/>
      </w:pPr>
      <w:r>
        <w:rPr>
          <w:color w:val="101820"/>
          <w:sz w:val="20"/>
        </w:rPr>
        <w:t>Invoicing: Monthly invoices with detailed time sheets and deliverable completion certificates.</w:t>
      </w:r>
    </w:p>
    <w:p>
      <w:pPr>
        <w:pStyle w:val="ListBullet"/>
        <w:spacing w:after="40" w:before="0"/>
      </w:pPr>
      <w:r>
        <w:rPr>
          <w:color w:val="101820"/>
          <w:sz w:val="20"/>
        </w:rPr>
        <w:t>Late payment: 1.5% monthly interest on overdue balances after 30-day grace period.</w:t>
      </w:r>
    </w:p>
    <w:p>
      <w:pPr>
        <w:ind w:left="360"/>
      </w:pPr>
      <w:r>
        <w:t>Intellectual Property</w:t>
      </w:r>
    </w:p>
    <w:p>
      <w:pPr>
        <w:pStyle w:val="ListBullet"/>
        <w:spacing w:after="40" w:before="0"/>
      </w:pPr>
      <w:r>
        <w:rPr>
          <w:color w:val="101820"/>
          <w:sz w:val="20"/>
        </w:rPr>
        <w:t>All USSD application code, menu designs, and documentation become VillageReach property upon final payment.</w:t>
      </w:r>
    </w:p>
    <w:p>
      <w:pPr>
        <w:pStyle w:val="ListBullet"/>
        <w:spacing w:after="40" w:before="0"/>
      </w:pPr>
      <w:r>
        <w:rPr>
          <w:color w:val="101820"/>
          <w:sz w:val="20"/>
        </w:rPr>
        <w:t>Light Speed Holdings retains rights to proprietary development frameworks and tools used in delivery.</w:t>
      </w:r>
    </w:p>
    <w:p>
      <w:pPr>
        <w:pStyle w:val="ListBullet"/>
        <w:spacing w:after="40" w:before="0"/>
      </w:pPr>
      <w:r>
        <w:rPr>
          <w:color w:val="101820"/>
          <w:sz w:val="20"/>
        </w:rPr>
        <w:t>Open-source components used under their respective licenses (documented in technical handover).</w:t>
      </w:r>
    </w:p>
    <w:p>
      <w:pPr>
        <w:ind w:left="360"/>
      </w:pPr>
      <w:r>
        <w:t>Confidentiality</w:t>
      </w:r>
    </w:p>
    <w:p>
      <w:pPr>
        <w:pStyle w:val="ListBullet"/>
        <w:spacing w:after="40" w:before="0"/>
      </w:pPr>
      <w:r>
        <w:rPr>
          <w:color w:val="101820"/>
          <w:sz w:val="20"/>
        </w:rPr>
        <w:t>All project data, user information, and VillageReach program details treated as strictly confidential.</w:t>
      </w:r>
    </w:p>
    <w:p>
      <w:pPr>
        <w:pStyle w:val="ListBullet"/>
        <w:spacing w:after="40" w:before="0"/>
      </w:pPr>
      <w:r>
        <w:rPr>
          <w:color w:val="101820"/>
          <w:sz w:val="20"/>
        </w:rPr>
        <w:t>Non-disclosure agreement available upon request.</w:t>
      </w:r>
    </w:p>
    <w:p>
      <w:pPr>
        <w:pStyle w:val="ListBullet"/>
        <w:spacing w:after="40" w:before="0"/>
      </w:pPr>
      <w:r>
        <w:rPr>
          <w:color w:val="101820"/>
          <w:sz w:val="20"/>
        </w:rPr>
        <w:t>Team members bound by organizational confidentiality policies.</w:t>
      </w:r>
    </w:p>
    <w:p>
      <w:pPr>
        <w:ind w:left="360"/>
      </w:pPr>
      <w:r>
        <w:t>Termination</w:t>
      </w:r>
    </w:p>
    <w:p>
      <w:pPr>
        <w:pStyle w:val="ListBullet"/>
        <w:spacing w:after="40" w:before="0"/>
      </w:pPr>
      <w:r>
        <w:rPr>
          <w:color w:val="101820"/>
          <w:sz w:val="20"/>
        </w:rPr>
        <w:t>Either party may terminate with 30 days written notice.</w:t>
      </w:r>
    </w:p>
    <w:p>
      <w:pPr>
        <w:pStyle w:val="ListBullet"/>
        <w:spacing w:after="40" w:before="0"/>
      </w:pPr>
      <w:r>
        <w:rPr>
          <w:color w:val="101820"/>
          <w:sz w:val="20"/>
        </w:rPr>
        <w:t>Upon termination, all completed work and documentation delivered to VillageReach.</w:t>
      </w:r>
    </w:p>
    <w:p>
      <w:pPr>
        <w:pStyle w:val="ListBullet"/>
        <w:spacing w:after="40" w:before="0"/>
      </w:pPr>
      <w:r>
        <w:rPr>
          <w:color w:val="101820"/>
          <w:sz w:val="20"/>
        </w:rPr>
        <w:t>Payment for completed milestones honored regardless of termination.</w:t>
      </w:r>
    </w:p>
    <w:p>
      <w:pPr>
        <w:ind w:left="360"/>
      </w:pPr>
      <w:r>
        <w:t>Validity</w:t>
      </w:r>
    </w:p>
    <w:p>
      <w:pPr>
        <w:ind w:left="360"/>
      </w:pPr>
      <w:r>
        <w:t>This proposal is valid for 30 days from the date of submission. Pricing and availability are subject to confirmation upon contract execution.</w:t>
      </w:r>
    </w:p>
    <w:p>
      <w:r>
        <w:br w:type="page"/>
      </w:r>
    </w:p>
    <w:p>
      <w:pPr>
        <w:ind w:left="360"/>
      </w:pPr>
      <w:r>
        <w:t>Thank You</w:t>
      </w:r>
    </w:p>
    <w:p>
      <w:pPr>
        <w:ind w:left="360"/>
      </w:pPr>
      <w:r>
        <w:t>Light Speed Holdings is committed to the success of the CHOICE Project and the communities it serves. We look forward to partnering with VillageReach to deliver accessible, life-changing health information through USSD technology.</w:t>
      </w:r>
    </w:p>
    <w:p>
      <w:pPr>
        <w:ind w:left="360"/>
      </w:pPr>
      <w:r>
        <w:t>Light Speed Holdings</w:t>
      </w:r>
    </w:p>
    <w:p>
      <w:pPr>
        <w:ind w:left="360"/>
      </w:pPr>
      <w:r>
        <w:t>Malawi  ·  Nairobi  ·  Washington DC</w:t>
      </w:r>
    </w:p>
    <w:p>
      <w:pPr>
        <w:ind w:left="360"/>
      </w:pPr>
      <w:r>
        <w:t>info@lightspeedholdings.com  |  lightspeedholdings.com</w:t>
      </w:r>
    </w:p>
    <w:p>
      <w:pPr>
        <w:ind w:left="360"/>
      </w:pPr>
      <w:r>
        <w:t>Confidential – Prepared for VillageReach CHOICE Project Evaluation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jc w:val="center"/>
    </w:pPr>
    <w:rPr>
      <w:b w:val="0"/>
      <w:i/>
      <w:color w:val="E84D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