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A224" w14:textId="77777777" w:rsidR="00047411" w:rsidRDefault="00000000">
      <w:pPr>
        <w:spacing w:after="40"/>
      </w:pPr>
      <w:r>
        <w:rPr>
          <w:b/>
          <w:color w:val="00566C"/>
          <w:sz w:val="36"/>
        </w:rPr>
        <w:t>Defensa del TFM — estructura de la presentación</w:t>
      </w:r>
    </w:p>
    <w:p w14:paraId="32D61D57" w14:textId="77777777" w:rsidR="00047411" w:rsidRDefault="00000000">
      <w:r>
        <w:rPr>
          <w:i/>
          <w:sz w:val="19"/>
        </w:rPr>
        <w:t>Evaluación comparativa de modelos de forecasting para FP&amp;A con métricas ponderadas por materialidad. Archivo: defensa_TFM.pptx — 26 diapositivas de exposición + 4 de apoyo (27–30), sobre la plantilla oficial UNIR.</w:t>
      </w:r>
    </w:p>
    <w:p w14:paraId="5B305990" w14:textId="77777777" w:rsidR="00047411" w:rsidRDefault="00000000">
      <w:pPr>
        <w:keepNext/>
        <w:spacing w:before="240"/>
      </w:pPr>
      <w:r>
        <w:rPr>
          <w:b/>
          <w:color w:val="00566C"/>
          <w:sz w:val="26"/>
        </w:rPr>
        <w:t>1. Narrativa</w:t>
      </w:r>
    </w:p>
    <w:p w14:paraId="68E8C3AD" w14:textId="77777777" w:rsidR="00047411" w:rsidRDefault="00000000">
      <w:r>
        <w:t>La presentación sigue una línea argumental, no los capítulos del TFM: Problema → Propuesta → Experimento → Resultados → Interpretación → Conclusión. Cada título de diapositiva es un mensaje, con el bloque como antetítulo.</w:t>
      </w:r>
    </w:p>
    <w:tbl>
      <w:tblPr>
        <w:tblW w:w="0" w:type="auto"/>
        <w:jc w:val="center"/>
        <w:tblBorders>
          <w:top w:val="single" w:sz="4" w:space="0" w:color="D9D9DE"/>
          <w:left w:val="single" w:sz="4" w:space="0" w:color="D9D9DE"/>
          <w:bottom w:val="single" w:sz="4" w:space="0" w:color="D9D9DE"/>
          <w:right w:val="single" w:sz="4" w:space="0" w:color="D9D9DE"/>
          <w:insideH w:val="single" w:sz="4" w:space="0" w:color="D9D9DE"/>
          <w:insideV w:val="single" w:sz="4" w:space="0" w:color="D9D9DE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1587"/>
        <w:gridCol w:w="2381"/>
      </w:tblGrid>
      <w:tr w:rsidR="00047411" w14:paraId="7279F866" w14:textId="77777777">
        <w:trPr>
          <w:tblHeader/>
          <w:jc w:val="center"/>
        </w:trPr>
        <w:tc>
          <w:tcPr>
            <w:tcW w:w="2268" w:type="dxa"/>
            <w:shd w:val="clear" w:color="auto" w:fill="219BC3"/>
          </w:tcPr>
          <w:p w14:paraId="44A79FEF" w14:textId="77777777" w:rsidR="0004741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w="3515" w:type="dxa"/>
            <w:shd w:val="clear" w:color="auto" w:fill="219BC3"/>
          </w:tcPr>
          <w:p w14:paraId="6DAF76BA" w14:textId="77777777" w:rsidR="0004741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Pregunta que responde</w:t>
            </w:r>
          </w:p>
        </w:tc>
        <w:tc>
          <w:tcPr>
            <w:tcW w:w="1587" w:type="dxa"/>
            <w:shd w:val="clear" w:color="auto" w:fill="219BC3"/>
          </w:tcPr>
          <w:p w14:paraId="7F6AB4C7" w14:textId="77777777" w:rsidR="0004741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Diapositivas</w:t>
            </w:r>
          </w:p>
        </w:tc>
        <w:tc>
          <w:tcPr>
            <w:tcW w:w="2381" w:type="dxa"/>
            <w:shd w:val="clear" w:color="auto" w:fill="219BC3"/>
          </w:tcPr>
          <w:p w14:paraId="3BA63632" w14:textId="77777777" w:rsidR="0004741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Presenta</w:t>
            </w:r>
          </w:p>
        </w:tc>
      </w:tr>
      <w:tr w:rsidR="00047411" w14:paraId="71FC6D57" w14:textId="77777777">
        <w:trPr>
          <w:jc w:val="center"/>
        </w:trPr>
        <w:tc>
          <w:tcPr>
            <w:tcW w:w="2268" w:type="dxa"/>
            <w:shd w:val="clear" w:color="auto" w:fill="F2F2F5"/>
          </w:tcPr>
          <w:p w14:paraId="4C3B51E5" w14:textId="77777777" w:rsidR="00047411" w:rsidRDefault="00000000">
            <w:pPr>
              <w:spacing w:after="0"/>
            </w:pPr>
            <w:r>
              <w:rPr>
                <w:b/>
                <w:color w:val="00566C"/>
                <w:sz w:val="18"/>
              </w:rPr>
              <w:t>01 Problema y propuesta</w:t>
            </w:r>
          </w:p>
        </w:tc>
        <w:tc>
          <w:tcPr>
            <w:tcW w:w="3515" w:type="dxa"/>
            <w:shd w:val="clear" w:color="auto" w:fill="F2F2F5"/>
          </w:tcPr>
          <w:p w14:paraId="1AC1AD50" w14:textId="77777777" w:rsidR="00047411" w:rsidRDefault="00000000">
            <w:pPr>
              <w:spacing w:after="0"/>
            </w:pPr>
            <w:r>
              <w:rPr>
                <w:sz w:val="18"/>
              </w:rPr>
              <w:t>¿Por qué importa y qué vacío hay?</w:t>
            </w:r>
          </w:p>
        </w:tc>
        <w:tc>
          <w:tcPr>
            <w:tcW w:w="1587" w:type="dxa"/>
            <w:shd w:val="clear" w:color="auto" w:fill="F2F2F5"/>
          </w:tcPr>
          <w:p w14:paraId="132297DA" w14:textId="77777777" w:rsidR="00047411" w:rsidRDefault="00000000">
            <w:pPr>
              <w:spacing w:after="0"/>
            </w:pPr>
            <w:r>
              <w:rPr>
                <w:sz w:val="18"/>
              </w:rPr>
              <w:t>1–5</w:t>
            </w:r>
          </w:p>
        </w:tc>
        <w:tc>
          <w:tcPr>
            <w:tcW w:w="2381" w:type="dxa"/>
            <w:shd w:val="clear" w:color="auto" w:fill="F2F2F5"/>
          </w:tcPr>
          <w:p w14:paraId="31284C1B" w14:textId="77777777" w:rsidR="00047411" w:rsidRDefault="00000000">
            <w:pPr>
              <w:spacing w:after="0"/>
            </w:pPr>
            <w:r>
              <w:rPr>
                <w:sz w:val="18"/>
              </w:rPr>
              <w:t>Persona 1</w:t>
            </w:r>
          </w:p>
        </w:tc>
      </w:tr>
      <w:tr w:rsidR="00047411" w14:paraId="657EAA13" w14:textId="77777777">
        <w:trPr>
          <w:jc w:val="center"/>
        </w:trPr>
        <w:tc>
          <w:tcPr>
            <w:tcW w:w="2268" w:type="dxa"/>
          </w:tcPr>
          <w:p w14:paraId="7BFB9205" w14:textId="77777777" w:rsidR="00047411" w:rsidRDefault="00000000">
            <w:pPr>
              <w:spacing w:after="0"/>
            </w:pPr>
            <w:r>
              <w:rPr>
                <w:b/>
                <w:color w:val="00566C"/>
                <w:sz w:val="18"/>
              </w:rPr>
              <w:t>02 Diseño del experimento</w:t>
            </w:r>
          </w:p>
        </w:tc>
        <w:tc>
          <w:tcPr>
            <w:tcW w:w="3515" w:type="dxa"/>
          </w:tcPr>
          <w:p w14:paraId="7D1DCDE9" w14:textId="77777777" w:rsidR="00047411" w:rsidRDefault="00000000">
            <w:pPr>
              <w:spacing w:after="0"/>
            </w:pPr>
            <w:r>
              <w:rPr>
                <w:sz w:val="18"/>
              </w:rPr>
              <w:t>¿Cómo se aseguró una evaluación rigurosa?</w:t>
            </w:r>
          </w:p>
        </w:tc>
        <w:tc>
          <w:tcPr>
            <w:tcW w:w="1587" w:type="dxa"/>
          </w:tcPr>
          <w:p w14:paraId="7B716CD6" w14:textId="77777777" w:rsidR="00047411" w:rsidRDefault="00000000">
            <w:pPr>
              <w:spacing w:after="0"/>
            </w:pPr>
            <w:r>
              <w:rPr>
                <w:sz w:val="18"/>
              </w:rPr>
              <w:t>6–11</w:t>
            </w:r>
          </w:p>
        </w:tc>
        <w:tc>
          <w:tcPr>
            <w:tcW w:w="2381" w:type="dxa"/>
          </w:tcPr>
          <w:p w14:paraId="49693E0F" w14:textId="04EED73D" w:rsidR="00047411" w:rsidRDefault="00000000">
            <w:pPr>
              <w:spacing w:after="0"/>
            </w:pPr>
            <w:r>
              <w:rPr>
                <w:sz w:val="18"/>
              </w:rPr>
              <w:t xml:space="preserve">Persona </w:t>
            </w:r>
            <w:r w:rsidR="000F6353">
              <w:rPr>
                <w:sz w:val="18"/>
              </w:rPr>
              <w:t>1 y 2</w:t>
            </w:r>
          </w:p>
        </w:tc>
      </w:tr>
      <w:tr w:rsidR="00047411" w14:paraId="1861670B" w14:textId="77777777">
        <w:trPr>
          <w:jc w:val="center"/>
        </w:trPr>
        <w:tc>
          <w:tcPr>
            <w:tcW w:w="2268" w:type="dxa"/>
            <w:shd w:val="clear" w:color="auto" w:fill="F2F2F5"/>
          </w:tcPr>
          <w:p w14:paraId="474F98EE" w14:textId="77777777" w:rsidR="00047411" w:rsidRDefault="00000000">
            <w:pPr>
              <w:spacing w:after="0"/>
            </w:pPr>
            <w:r>
              <w:rPr>
                <w:b/>
                <w:color w:val="00566C"/>
                <w:sz w:val="18"/>
              </w:rPr>
              <w:t>03 Resultados</w:t>
            </w:r>
          </w:p>
        </w:tc>
        <w:tc>
          <w:tcPr>
            <w:tcW w:w="3515" w:type="dxa"/>
            <w:shd w:val="clear" w:color="auto" w:fill="F2F2F5"/>
          </w:tcPr>
          <w:p w14:paraId="53AAD03B" w14:textId="77777777" w:rsidR="00047411" w:rsidRDefault="00000000">
            <w:pPr>
              <w:spacing w:after="0"/>
            </w:pPr>
            <w:r>
              <w:rPr>
                <w:sz w:val="18"/>
              </w:rPr>
              <w:t>¿Qué funcionó, con qué evidencia y cuánta estabilidad?</w:t>
            </w:r>
          </w:p>
        </w:tc>
        <w:tc>
          <w:tcPr>
            <w:tcW w:w="1587" w:type="dxa"/>
            <w:shd w:val="clear" w:color="auto" w:fill="F2F2F5"/>
          </w:tcPr>
          <w:p w14:paraId="5B03453E" w14:textId="77777777" w:rsidR="00047411" w:rsidRDefault="00000000">
            <w:pPr>
              <w:spacing w:after="0"/>
            </w:pPr>
            <w:r>
              <w:rPr>
                <w:sz w:val="18"/>
              </w:rPr>
              <w:t>12–19</w:t>
            </w:r>
          </w:p>
        </w:tc>
        <w:tc>
          <w:tcPr>
            <w:tcW w:w="2381" w:type="dxa"/>
            <w:shd w:val="clear" w:color="auto" w:fill="F2F2F5"/>
          </w:tcPr>
          <w:p w14:paraId="27844540" w14:textId="4A718938" w:rsidR="00047411" w:rsidRDefault="00000000">
            <w:pPr>
              <w:spacing w:after="0"/>
            </w:pPr>
            <w:r>
              <w:rPr>
                <w:sz w:val="18"/>
              </w:rPr>
              <w:t xml:space="preserve">Persona </w:t>
            </w:r>
            <w:r w:rsidR="000F6353">
              <w:rPr>
                <w:sz w:val="18"/>
              </w:rPr>
              <w:t>2</w:t>
            </w:r>
          </w:p>
        </w:tc>
      </w:tr>
      <w:tr w:rsidR="00047411" w14:paraId="359ACEF2" w14:textId="77777777">
        <w:trPr>
          <w:jc w:val="center"/>
        </w:trPr>
        <w:tc>
          <w:tcPr>
            <w:tcW w:w="2268" w:type="dxa"/>
          </w:tcPr>
          <w:p w14:paraId="6BBACCB6" w14:textId="77777777" w:rsidR="00047411" w:rsidRDefault="00000000">
            <w:pPr>
              <w:spacing w:after="0"/>
            </w:pPr>
            <w:r>
              <w:rPr>
                <w:b/>
                <w:color w:val="00566C"/>
                <w:sz w:val="18"/>
              </w:rPr>
              <w:t>04 Interpretación</w:t>
            </w:r>
          </w:p>
        </w:tc>
        <w:tc>
          <w:tcPr>
            <w:tcW w:w="3515" w:type="dxa"/>
          </w:tcPr>
          <w:p w14:paraId="784C5966" w14:textId="77777777" w:rsidR="00047411" w:rsidRDefault="00000000">
            <w:pPr>
              <w:spacing w:after="0"/>
            </w:pPr>
            <w:r>
              <w:rPr>
                <w:sz w:val="18"/>
              </w:rPr>
              <w:t>¿Confirma que más complejidad es mejor?</w:t>
            </w:r>
          </w:p>
        </w:tc>
        <w:tc>
          <w:tcPr>
            <w:tcW w:w="1587" w:type="dxa"/>
          </w:tcPr>
          <w:p w14:paraId="240EA4DA" w14:textId="77777777" w:rsidR="00047411" w:rsidRDefault="00000000">
            <w:pPr>
              <w:spacing w:after="0"/>
            </w:pPr>
            <w:r>
              <w:rPr>
                <w:sz w:val="18"/>
              </w:rPr>
              <w:t>20–22</w:t>
            </w:r>
          </w:p>
        </w:tc>
        <w:tc>
          <w:tcPr>
            <w:tcW w:w="2381" w:type="dxa"/>
          </w:tcPr>
          <w:p w14:paraId="60D71057" w14:textId="1462FE18" w:rsidR="00047411" w:rsidRDefault="00000000">
            <w:pPr>
              <w:spacing w:after="0"/>
            </w:pPr>
            <w:r>
              <w:rPr>
                <w:sz w:val="18"/>
              </w:rPr>
              <w:t xml:space="preserve">Persona </w:t>
            </w:r>
            <w:r w:rsidR="000F6353">
              <w:rPr>
                <w:sz w:val="18"/>
              </w:rPr>
              <w:t>3</w:t>
            </w:r>
          </w:p>
        </w:tc>
      </w:tr>
      <w:tr w:rsidR="00047411" w14:paraId="4D71B835" w14:textId="77777777" w:rsidTr="000F6353">
        <w:trPr>
          <w:trHeight w:val="356"/>
          <w:jc w:val="center"/>
        </w:trPr>
        <w:tc>
          <w:tcPr>
            <w:tcW w:w="2268" w:type="dxa"/>
            <w:shd w:val="clear" w:color="auto" w:fill="F2F2F5"/>
          </w:tcPr>
          <w:p w14:paraId="0F01DEA0" w14:textId="77777777" w:rsidR="00047411" w:rsidRDefault="00000000">
            <w:pPr>
              <w:spacing w:after="0"/>
            </w:pPr>
            <w:r>
              <w:rPr>
                <w:b/>
                <w:color w:val="00566C"/>
                <w:sz w:val="18"/>
              </w:rPr>
              <w:t xml:space="preserve">05 Cierre y </w:t>
            </w:r>
            <w:proofErr w:type="spellStart"/>
            <w:r>
              <w:rPr>
                <w:b/>
                <w:color w:val="00566C"/>
                <w:sz w:val="18"/>
              </w:rPr>
              <w:t>conclusiones</w:t>
            </w:r>
            <w:proofErr w:type="spellEnd"/>
          </w:p>
        </w:tc>
        <w:tc>
          <w:tcPr>
            <w:tcW w:w="3515" w:type="dxa"/>
            <w:shd w:val="clear" w:color="auto" w:fill="F2F2F5"/>
          </w:tcPr>
          <w:p w14:paraId="55C66941" w14:textId="77777777" w:rsidR="00047411" w:rsidRDefault="00000000">
            <w:pPr>
              <w:spacing w:after="0"/>
            </w:pPr>
            <w:r>
              <w:rPr>
                <w:sz w:val="18"/>
              </w:rPr>
              <w:t>¿Qué se concluye y con qué límites?</w:t>
            </w:r>
          </w:p>
        </w:tc>
        <w:tc>
          <w:tcPr>
            <w:tcW w:w="1587" w:type="dxa"/>
            <w:shd w:val="clear" w:color="auto" w:fill="F2F2F5"/>
          </w:tcPr>
          <w:p w14:paraId="37C0C73E" w14:textId="77777777" w:rsidR="00047411" w:rsidRDefault="00000000">
            <w:pPr>
              <w:spacing w:after="0"/>
            </w:pPr>
            <w:r>
              <w:rPr>
                <w:sz w:val="18"/>
              </w:rPr>
              <w:t>23–26</w:t>
            </w:r>
          </w:p>
        </w:tc>
        <w:tc>
          <w:tcPr>
            <w:tcW w:w="2381" w:type="dxa"/>
            <w:shd w:val="clear" w:color="auto" w:fill="F2F2F5"/>
          </w:tcPr>
          <w:p w14:paraId="79A86D30" w14:textId="04210876" w:rsidR="00047411" w:rsidRDefault="00000000">
            <w:pPr>
              <w:spacing w:after="0"/>
            </w:pPr>
            <w:r>
              <w:rPr>
                <w:sz w:val="18"/>
              </w:rPr>
              <w:t xml:space="preserve">Persona </w:t>
            </w:r>
            <w:r w:rsidR="000F6353">
              <w:rPr>
                <w:sz w:val="18"/>
              </w:rPr>
              <w:t>3</w:t>
            </w:r>
          </w:p>
        </w:tc>
      </w:tr>
      <w:tr w:rsidR="00047411" w14:paraId="74598B37" w14:textId="77777777">
        <w:trPr>
          <w:jc w:val="center"/>
        </w:trPr>
        <w:tc>
          <w:tcPr>
            <w:tcW w:w="2268" w:type="dxa"/>
          </w:tcPr>
          <w:p w14:paraId="1EB4A724" w14:textId="77777777" w:rsidR="00047411" w:rsidRDefault="00000000">
            <w:pPr>
              <w:spacing w:after="0"/>
            </w:pPr>
            <w:proofErr w:type="spellStart"/>
            <w:r>
              <w:rPr>
                <w:b/>
                <w:color w:val="00566C"/>
                <w:sz w:val="18"/>
              </w:rPr>
              <w:t>Apoyo</w:t>
            </w:r>
            <w:proofErr w:type="spellEnd"/>
            <w:r>
              <w:rPr>
                <w:b/>
                <w:color w:val="00566C"/>
                <w:sz w:val="18"/>
              </w:rPr>
              <w:t xml:space="preserve"> (no se </w:t>
            </w:r>
            <w:proofErr w:type="spellStart"/>
            <w:r>
              <w:rPr>
                <w:b/>
                <w:color w:val="00566C"/>
                <w:sz w:val="18"/>
              </w:rPr>
              <w:t>presenta</w:t>
            </w:r>
            <w:proofErr w:type="spellEnd"/>
            <w:r>
              <w:rPr>
                <w:b/>
                <w:color w:val="00566C"/>
                <w:sz w:val="18"/>
              </w:rPr>
              <w:t>)</w:t>
            </w:r>
          </w:p>
        </w:tc>
        <w:tc>
          <w:tcPr>
            <w:tcW w:w="3515" w:type="dxa"/>
          </w:tcPr>
          <w:p w14:paraId="137CDA69" w14:textId="77777777" w:rsidR="00047411" w:rsidRDefault="00000000">
            <w:pPr>
              <w:spacing w:after="0"/>
            </w:pPr>
            <w:r>
              <w:rPr>
                <w:sz w:val="18"/>
              </w:rPr>
              <w:t>Preguntas del tribunal</w:t>
            </w:r>
          </w:p>
        </w:tc>
        <w:tc>
          <w:tcPr>
            <w:tcW w:w="1587" w:type="dxa"/>
          </w:tcPr>
          <w:p w14:paraId="37D3A8D0" w14:textId="77777777" w:rsidR="00047411" w:rsidRDefault="00000000">
            <w:pPr>
              <w:spacing w:after="0"/>
            </w:pPr>
            <w:r>
              <w:rPr>
                <w:sz w:val="18"/>
              </w:rPr>
              <w:t>27–30</w:t>
            </w:r>
          </w:p>
        </w:tc>
        <w:tc>
          <w:tcPr>
            <w:tcW w:w="2381" w:type="dxa"/>
          </w:tcPr>
          <w:p w14:paraId="4E001605" w14:textId="77777777" w:rsidR="00047411" w:rsidRDefault="00000000">
            <w:pPr>
              <w:spacing w:after="0"/>
            </w:pPr>
            <w:r>
              <w:rPr>
                <w:sz w:val="18"/>
              </w:rPr>
              <w:t>Quien responda</w:t>
            </w:r>
          </w:p>
        </w:tc>
      </w:tr>
    </w:tbl>
    <w:p w14:paraId="2A3EAF2C" w14:textId="77777777" w:rsidR="00047411" w:rsidRDefault="00047411">
      <w:pPr>
        <w:spacing w:after="40"/>
      </w:pPr>
    </w:p>
    <w:p w14:paraId="41D2FDEE" w14:textId="77777777" w:rsidR="00047411" w:rsidRDefault="00000000">
      <w:pPr>
        <w:keepNext/>
        <w:spacing w:before="240"/>
      </w:pPr>
      <w:r>
        <w:rPr>
          <w:b/>
          <w:color w:val="00566C"/>
          <w:sz w:val="26"/>
        </w:rPr>
        <w:t>2. Reparto y tiempos (30 min)</w:t>
      </w:r>
    </w:p>
    <w:tbl>
      <w:tblPr>
        <w:tblW w:w="0" w:type="auto"/>
        <w:jc w:val="center"/>
        <w:tblBorders>
          <w:top w:val="single" w:sz="4" w:space="0" w:color="D9D9DE"/>
          <w:left w:val="single" w:sz="4" w:space="0" w:color="D9D9DE"/>
          <w:bottom w:val="single" w:sz="4" w:space="0" w:color="D9D9DE"/>
          <w:right w:val="single" w:sz="4" w:space="0" w:color="D9D9DE"/>
          <w:insideH w:val="single" w:sz="4" w:space="0" w:color="D9D9DE"/>
          <w:insideV w:val="single" w:sz="4" w:space="0" w:color="D9D9DE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216"/>
        <w:gridCol w:w="2835"/>
      </w:tblGrid>
      <w:tr w:rsidR="00047411" w14:paraId="2E9EBE03" w14:textId="77777777">
        <w:trPr>
          <w:tblHeader/>
          <w:jc w:val="center"/>
        </w:trPr>
        <w:tc>
          <w:tcPr>
            <w:tcW w:w="1701" w:type="dxa"/>
            <w:shd w:val="clear" w:color="auto" w:fill="219BC3"/>
          </w:tcPr>
          <w:p w14:paraId="56647039" w14:textId="77777777" w:rsidR="0004741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w="5216" w:type="dxa"/>
            <w:shd w:val="clear" w:color="auto" w:fill="219BC3"/>
          </w:tcPr>
          <w:p w14:paraId="66320F99" w14:textId="77777777" w:rsidR="0004741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Diapositivas</w:t>
            </w:r>
          </w:p>
        </w:tc>
        <w:tc>
          <w:tcPr>
            <w:tcW w:w="2835" w:type="dxa"/>
            <w:shd w:val="clear" w:color="auto" w:fill="219BC3"/>
          </w:tcPr>
          <w:p w14:paraId="298D5912" w14:textId="77777777" w:rsidR="0004741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Tiempo de contenido</w:t>
            </w:r>
          </w:p>
        </w:tc>
      </w:tr>
      <w:tr w:rsidR="00047411" w14:paraId="58CB3FB9" w14:textId="77777777">
        <w:trPr>
          <w:jc w:val="center"/>
        </w:trPr>
        <w:tc>
          <w:tcPr>
            <w:tcW w:w="1701" w:type="dxa"/>
            <w:shd w:val="clear" w:color="auto" w:fill="F2F2F5"/>
          </w:tcPr>
          <w:p w14:paraId="1AEC54F4" w14:textId="77777777" w:rsidR="00047411" w:rsidRDefault="00000000">
            <w:pPr>
              <w:spacing w:after="0"/>
            </w:pPr>
            <w:r>
              <w:rPr>
                <w:b/>
                <w:color w:val="00566C"/>
                <w:sz w:val="18"/>
              </w:rPr>
              <w:t>Persona 1</w:t>
            </w:r>
          </w:p>
        </w:tc>
        <w:tc>
          <w:tcPr>
            <w:tcW w:w="5216" w:type="dxa"/>
            <w:shd w:val="clear" w:color="auto" w:fill="F2F2F5"/>
          </w:tcPr>
          <w:p w14:paraId="7783E2A3" w14:textId="35768693" w:rsidR="00047411" w:rsidRDefault="00000000">
            <w:pPr>
              <w:spacing w:after="0"/>
            </w:pPr>
            <w:r>
              <w:rPr>
                <w:sz w:val="18"/>
              </w:rPr>
              <w:t>1–</w:t>
            </w:r>
            <w:r w:rsidR="000F6353">
              <w:rPr>
                <w:sz w:val="18"/>
              </w:rPr>
              <w:t>9</w:t>
            </w:r>
            <w:r>
              <w:rPr>
                <w:sz w:val="18"/>
              </w:rPr>
              <w:t>,</w:t>
            </w:r>
          </w:p>
        </w:tc>
        <w:tc>
          <w:tcPr>
            <w:tcW w:w="2835" w:type="dxa"/>
            <w:shd w:val="clear" w:color="auto" w:fill="F2F2F5"/>
          </w:tcPr>
          <w:p w14:paraId="199A8ACB" w14:textId="65B47BDB" w:rsidR="00047411" w:rsidRDefault="000F6353">
            <w:pPr>
              <w:spacing w:after="0"/>
              <w:jc w:val="center"/>
            </w:pPr>
            <w:r>
              <w:rPr>
                <w:sz w:val="18"/>
              </w:rPr>
              <w:t>9</w:t>
            </w:r>
            <w:r w:rsidR="00000000">
              <w:rPr>
                <w:sz w:val="18"/>
              </w:rPr>
              <w:t>,</w:t>
            </w:r>
            <w:r>
              <w:rPr>
                <w:sz w:val="18"/>
              </w:rPr>
              <w:t>7</w:t>
            </w:r>
            <w:r w:rsidR="00000000">
              <w:rPr>
                <w:sz w:val="18"/>
              </w:rPr>
              <w:t>5 min</w:t>
            </w:r>
          </w:p>
        </w:tc>
      </w:tr>
      <w:tr w:rsidR="00047411" w14:paraId="7C91A9DA" w14:textId="77777777">
        <w:trPr>
          <w:jc w:val="center"/>
        </w:trPr>
        <w:tc>
          <w:tcPr>
            <w:tcW w:w="1701" w:type="dxa"/>
          </w:tcPr>
          <w:p w14:paraId="08587BF8" w14:textId="77777777" w:rsidR="00047411" w:rsidRDefault="00000000">
            <w:pPr>
              <w:spacing w:after="0"/>
            </w:pPr>
            <w:r>
              <w:rPr>
                <w:b/>
                <w:color w:val="00566C"/>
                <w:sz w:val="18"/>
              </w:rPr>
              <w:t>Persona 2</w:t>
            </w:r>
          </w:p>
        </w:tc>
        <w:tc>
          <w:tcPr>
            <w:tcW w:w="5216" w:type="dxa"/>
          </w:tcPr>
          <w:p w14:paraId="459891D1" w14:textId="6FE72676" w:rsidR="00047411" w:rsidRDefault="000F6353">
            <w:pPr>
              <w:spacing w:after="0"/>
            </w:pPr>
            <w:r>
              <w:rPr>
                <w:sz w:val="18"/>
              </w:rPr>
              <w:t>10</w:t>
            </w:r>
            <w:r w:rsidR="00000000">
              <w:rPr>
                <w:sz w:val="18"/>
              </w:rPr>
              <w:t>–</w:t>
            </w:r>
            <w:r w:rsidR="00C80326">
              <w:rPr>
                <w:sz w:val="18"/>
              </w:rPr>
              <w:t>1</w:t>
            </w:r>
            <w:r>
              <w:rPr>
                <w:sz w:val="18"/>
              </w:rPr>
              <w:t>8</w:t>
            </w:r>
          </w:p>
        </w:tc>
        <w:tc>
          <w:tcPr>
            <w:tcW w:w="2835" w:type="dxa"/>
          </w:tcPr>
          <w:p w14:paraId="091EC5A9" w14:textId="6707AC61" w:rsidR="00047411" w:rsidRDefault="000F6353">
            <w:pPr>
              <w:spacing w:after="0"/>
              <w:jc w:val="center"/>
            </w:pPr>
            <w:r>
              <w:rPr>
                <w:sz w:val="18"/>
              </w:rPr>
              <w:t>10</w:t>
            </w:r>
            <w:r w:rsidR="00000000">
              <w:rPr>
                <w:sz w:val="18"/>
              </w:rPr>
              <w:t>,</w:t>
            </w:r>
            <w:r>
              <w:rPr>
                <w:sz w:val="18"/>
              </w:rPr>
              <w:t>5</w:t>
            </w:r>
            <w:r w:rsidR="00000000">
              <w:rPr>
                <w:sz w:val="18"/>
              </w:rPr>
              <w:t>0 min</w:t>
            </w:r>
          </w:p>
        </w:tc>
      </w:tr>
      <w:tr w:rsidR="00047411" w14:paraId="4E05A0F8" w14:textId="77777777">
        <w:trPr>
          <w:jc w:val="center"/>
        </w:trPr>
        <w:tc>
          <w:tcPr>
            <w:tcW w:w="1701" w:type="dxa"/>
            <w:shd w:val="clear" w:color="auto" w:fill="F2F2F5"/>
          </w:tcPr>
          <w:p w14:paraId="7B2DF8A4" w14:textId="77777777" w:rsidR="00047411" w:rsidRDefault="00000000">
            <w:pPr>
              <w:spacing w:after="0"/>
            </w:pPr>
            <w:r>
              <w:rPr>
                <w:b/>
                <w:color w:val="00566C"/>
                <w:sz w:val="18"/>
              </w:rPr>
              <w:t>Persona 3</w:t>
            </w:r>
          </w:p>
        </w:tc>
        <w:tc>
          <w:tcPr>
            <w:tcW w:w="5216" w:type="dxa"/>
            <w:shd w:val="clear" w:color="auto" w:fill="F2F2F5"/>
          </w:tcPr>
          <w:p w14:paraId="2DA8B3E0" w14:textId="6C909C11" w:rsidR="00047411" w:rsidRDefault="00C80326">
            <w:pPr>
              <w:spacing w:after="0"/>
            </w:pPr>
            <w:r>
              <w:rPr>
                <w:sz w:val="18"/>
              </w:rPr>
              <w:t>1</w:t>
            </w:r>
            <w:r w:rsidR="000F6353">
              <w:rPr>
                <w:sz w:val="18"/>
              </w:rPr>
              <w:t>9</w:t>
            </w:r>
            <w:r>
              <w:rPr>
                <w:sz w:val="18"/>
              </w:rPr>
              <w:t>-26</w:t>
            </w:r>
          </w:p>
        </w:tc>
        <w:tc>
          <w:tcPr>
            <w:tcW w:w="2835" w:type="dxa"/>
            <w:shd w:val="clear" w:color="auto" w:fill="F2F2F5"/>
          </w:tcPr>
          <w:p w14:paraId="3C095B70" w14:textId="406892FF" w:rsidR="00047411" w:rsidRDefault="000F6353">
            <w:pPr>
              <w:spacing w:after="0"/>
              <w:jc w:val="center"/>
            </w:pPr>
            <w:r>
              <w:rPr>
                <w:sz w:val="18"/>
              </w:rPr>
              <w:t>8</w:t>
            </w:r>
            <w:r w:rsidR="00000000">
              <w:rPr>
                <w:sz w:val="18"/>
              </w:rPr>
              <w:t>,</w:t>
            </w:r>
            <w:r>
              <w:rPr>
                <w:sz w:val="18"/>
              </w:rPr>
              <w:t>7</w:t>
            </w:r>
            <w:r w:rsidR="00000000">
              <w:rPr>
                <w:sz w:val="18"/>
              </w:rPr>
              <w:t>5 min</w:t>
            </w:r>
          </w:p>
        </w:tc>
      </w:tr>
      <w:tr w:rsidR="00047411" w14:paraId="00EDA25E" w14:textId="77777777">
        <w:trPr>
          <w:jc w:val="center"/>
        </w:trPr>
        <w:tc>
          <w:tcPr>
            <w:tcW w:w="1701" w:type="dxa"/>
          </w:tcPr>
          <w:p w14:paraId="48FD164C" w14:textId="77777777" w:rsidR="00047411" w:rsidRDefault="00000000">
            <w:pPr>
              <w:spacing w:after="0"/>
            </w:pPr>
            <w:r>
              <w:rPr>
                <w:b/>
                <w:color w:val="00566C"/>
                <w:sz w:val="18"/>
              </w:rPr>
              <w:t>Total</w:t>
            </w:r>
          </w:p>
        </w:tc>
        <w:tc>
          <w:tcPr>
            <w:tcW w:w="5216" w:type="dxa"/>
          </w:tcPr>
          <w:p w14:paraId="304D3109" w14:textId="77777777" w:rsidR="00047411" w:rsidRDefault="00000000">
            <w:pPr>
              <w:spacing w:after="0"/>
            </w:pPr>
            <w:r>
              <w:rPr>
                <w:sz w:val="18"/>
              </w:rPr>
              <w:t>26 diapositivas</w:t>
            </w:r>
          </w:p>
        </w:tc>
        <w:tc>
          <w:tcPr>
            <w:tcW w:w="2835" w:type="dxa"/>
          </w:tcPr>
          <w:p w14:paraId="1C5EEE6E" w14:textId="77777777" w:rsidR="00047411" w:rsidRDefault="00000000">
            <w:pPr>
              <w:spacing w:after="0"/>
              <w:jc w:val="center"/>
            </w:pPr>
            <w:r>
              <w:rPr>
                <w:sz w:val="18"/>
              </w:rPr>
              <w:t>29,00 min</w:t>
            </w:r>
          </w:p>
        </w:tc>
      </w:tr>
    </w:tbl>
    <w:p w14:paraId="377AB0AA" w14:textId="77777777" w:rsidR="00047411" w:rsidRDefault="00047411">
      <w:pPr>
        <w:spacing w:after="40"/>
      </w:pPr>
    </w:p>
    <w:p w14:paraId="182829F1" w14:textId="77777777" w:rsidR="00047411" w:rsidRDefault="00000000">
      <w:pPr>
        <w:keepNext/>
        <w:spacing w:before="240"/>
      </w:pPr>
      <w:r>
        <w:rPr>
          <w:b/>
          <w:color w:val="00566C"/>
          <w:sz w:val="26"/>
        </w:rPr>
        <w:t>3. Mensajes clave de la defensa</w:t>
      </w:r>
    </w:p>
    <w:p w14:paraId="57DDBD38" w14:textId="77777777" w:rsidR="00047411" w:rsidRDefault="00000000">
      <w:pPr>
        <w:pStyle w:val="Listaconvietas"/>
        <w:spacing w:after="40"/>
      </w:pPr>
      <w:r>
        <w:rPr>
          <w:b/>
        </w:rPr>
        <w:t>Problema:</w:t>
      </w:r>
      <w:r>
        <w:t xml:space="preserve"> en FP&amp;A los modelos se eligen sin evidencia comparativa suficiente; el TFM compara siete modelos, de baseline a deep learning, con un protocolo único.</w:t>
      </w:r>
    </w:p>
    <w:p w14:paraId="70B0EFCC" w14:textId="77777777" w:rsidR="00047411" w:rsidRDefault="00000000">
      <w:pPr>
        <w:pStyle w:val="Listaconvietas"/>
        <w:spacing w:after="40"/>
      </w:pPr>
      <w:r>
        <w:rPr>
          <w:b/>
        </w:rPr>
        <w:t>Resultado principal:</w:t>
      </w:r>
      <w:r>
        <w:t xml:space="preserve"> ETS (AutoETS) obtiene el menor error en las seis métricas; sMAPE 10,0 % frente a 13,7 % del Seasonal Naïve.</w:t>
      </w:r>
    </w:p>
    <w:p w14:paraId="4EEC58DF" w14:textId="77777777" w:rsidR="00047411" w:rsidRDefault="00000000">
      <w:pPr>
        <w:pStyle w:val="Listaconvietas"/>
        <w:spacing w:after="40"/>
      </w:pPr>
      <w:r>
        <w:rPr>
          <w:b/>
        </w:rPr>
        <w:t>Significación:</w:t>
      </w:r>
      <w:r>
        <w:t xml:space="preserve"> mejora pareada de −3,85 pp, IC 95 % [−4,52; −3,26]; resiste Bonferroni (α = 0,005): solo SARIMA frente a Holt-Winters no es significativa.</w:t>
      </w:r>
    </w:p>
    <w:p w14:paraId="5C1A5547" w14:textId="77777777" w:rsidR="00047411" w:rsidRDefault="00000000">
      <w:pPr>
        <w:pStyle w:val="Listaconvietas"/>
        <w:spacing w:after="40"/>
      </w:pPr>
      <w:r>
        <w:rPr>
          <w:b/>
        </w:rPr>
        <w:t>Estabilidad:</w:t>
      </w:r>
      <w:r>
        <w:t xml:space="preserve"> ningún modelo alcanza el umbral exploratorio CV-sMAPE &lt; 25 % (CV medio entre 47,2 % y 55,1 %).</w:t>
      </w:r>
    </w:p>
    <w:p w14:paraId="79465EB4" w14:textId="77777777" w:rsidR="00047411" w:rsidRDefault="00000000">
      <w:pPr>
        <w:pStyle w:val="Listaconvietas"/>
        <w:spacing w:after="40"/>
      </w:pPr>
      <w:r>
        <w:rPr>
          <w:b/>
        </w:rPr>
        <w:t>Interpretación:</w:t>
      </w:r>
      <w:r>
        <w:t xml:space="preserve"> bajo estas condiciones los estadísticos clásicos lideran; no significa que lo simple gane siempre ni que la complejidad sea inútil.</w:t>
      </w:r>
    </w:p>
    <w:p w14:paraId="1BAC1E66" w14:textId="77777777" w:rsidR="00047411" w:rsidRDefault="00000000">
      <w:pPr>
        <w:pStyle w:val="Listaconvietas"/>
        <w:spacing w:after="40"/>
      </w:pPr>
      <w:r>
        <w:rPr>
          <w:b/>
        </w:rPr>
        <w:t>Cautelas explícitas:</w:t>
      </w:r>
      <w:r>
        <w:t xml:space="preserve"> WAPE y deciles son un proxy de materialidad; M4 es un proxy metodológico; el framework R1–R3 es preliminar y sin validación externa; las conclusiones son condicionales.</w:t>
      </w:r>
    </w:p>
    <w:p w14:paraId="3516DE09" w14:textId="77777777" w:rsidR="00047411" w:rsidRDefault="00000000">
      <w:pPr>
        <w:keepNext/>
        <w:spacing w:before="240"/>
      </w:pPr>
      <w:r>
        <w:rPr>
          <w:b/>
          <w:color w:val="00566C"/>
          <w:sz w:val="26"/>
        </w:rPr>
        <w:t>4. Lista de diapositivas</w:t>
      </w:r>
    </w:p>
    <w:tbl>
      <w:tblPr>
        <w:tblW w:w="0" w:type="auto"/>
        <w:jc w:val="center"/>
        <w:tblBorders>
          <w:top w:val="single" w:sz="4" w:space="0" w:color="D9D9DE"/>
          <w:left w:val="single" w:sz="4" w:space="0" w:color="D9D9DE"/>
          <w:bottom w:val="single" w:sz="4" w:space="0" w:color="D9D9DE"/>
          <w:right w:val="single" w:sz="4" w:space="0" w:color="D9D9DE"/>
          <w:insideH w:val="single" w:sz="4" w:space="0" w:color="D9D9DE"/>
          <w:insideV w:val="single" w:sz="4" w:space="0" w:color="D9D9DE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3402"/>
        <w:gridCol w:w="1077"/>
        <w:gridCol w:w="567"/>
        <w:gridCol w:w="4252"/>
      </w:tblGrid>
      <w:tr w:rsidR="00047411" w14:paraId="2AE89E69" w14:textId="77777777">
        <w:trPr>
          <w:tblHeader/>
          <w:jc w:val="center"/>
        </w:trPr>
        <w:tc>
          <w:tcPr>
            <w:tcW w:w="454" w:type="dxa"/>
            <w:shd w:val="clear" w:color="auto" w:fill="219BC3"/>
          </w:tcPr>
          <w:p w14:paraId="4950D4D6" w14:textId="77777777" w:rsidR="0004741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402" w:type="dxa"/>
            <w:shd w:val="clear" w:color="auto" w:fill="219BC3"/>
          </w:tcPr>
          <w:p w14:paraId="3D020037" w14:textId="77777777" w:rsidR="0004741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Título</w:t>
            </w:r>
          </w:p>
        </w:tc>
        <w:tc>
          <w:tcPr>
            <w:tcW w:w="1077" w:type="dxa"/>
            <w:shd w:val="clear" w:color="auto" w:fill="219BC3"/>
          </w:tcPr>
          <w:p w14:paraId="10CF1C18" w14:textId="77777777" w:rsidR="0004741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Presenta</w:t>
            </w:r>
          </w:p>
        </w:tc>
        <w:tc>
          <w:tcPr>
            <w:tcW w:w="567" w:type="dxa"/>
            <w:shd w:val="clear" w:color="auto" w:fill="219BC3"/>
          </w:tcPr>
          <w:p w14:paraId="74757D96" w14:textId="77777777" w:rsidR="0004741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Min</w:t>
            </w:r>
          </w:p>
        </w:tc>
        <w:tc>
          <w:tcPr>
            <w:tcW w:w="4252" w:type="dxa"/>
            <w:shd w:val="clear" w:color="auto" w:fill="219BC3"/>
          </w:tcPr>
          <w:p w14:paraId="5A5FDE86" w14:textId="77777777" w:rsidR="0004741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Mensaje a retener</w:t>
            </w:r>
          </w:p>
        </w:tc>
      </w:tr>
      <w:tr w:rsidR="00047411" w14:paraId="72B979E8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3911F2EB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402" w:type="dxa"/>
            <w:shd w:val="clear" w:color="auto" w:fill="F2F2F5"/>
          </w:tcPr>
          <w:p w14:paraId="00A0F3DF" w14:textId="77777777" w:rsidR="00047411" w:rsidRDefault="00000000">
            <w:pPr>
              <w:spacing w:after="0"/>
            </w:pPr>
            <w:r>
              <w:rPr>
                <w:sz w:val="16"/>
              </w:rPr>
              <w:t>Portada</w:t>
            </w:r>
          </w:p>
        </w:tc>
        <w:tc>
          <w:tcPr>
            <w:tcW w:w="1077" w:type="dxa"/>
            <w:shd w:val="clear" w:color="auto" w:fill="F2F2F5"/>
          </w:tcPr>
          <w:p w14:paraId="39B864F7" w14:textId="77777777" w:rsidR="00047411" w:rsidRDefault="00000000">
            <w:pPr>
              <w:spacing w:after="0"/>
            </w:pPr>
            <w:r>
              <w:rPr>
                <w:sz w:val="16"/>
              </w:rPr>
              <w:t>Persona 1</w:t>
            </w:r>
          </w:p>
        </w:tc>
        <w:tc>
          <w:tcPr>
            <w:tcW w:w="567" w:type="dxa"/>
            <w:shd w:val="clear" w:color="auto" w:fill="F2F2F5"/>
          </w:tcPr>
          <w:p w14:paraId="72061EFC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0,5</w:t>
            </w:r>
          </w:p>
        </w:tc>
        <w:tc>
          <w:tcPr>
            <w:tcW w:w="4252" w:type="dxa"/>
            <w:shd w:val="clear" w:color="auto" w:fill="F2F2F5"/>
          </w:tcPr>
          <w:p w14:paraId="6FDFAB3F" w14:textId="77777777" w:rsidR="00047411" w:rsidRDefault="00000000">
            <w:pPr>
              <w:spacing w:after="0"/>
            </w:pPr>
            <w:r>
              <w:rPr>
                <w:sz w:val="16"/>
              </w:rPr>
              <w:t>Es una comparativa experimental de modelos de pronóstico para FP&amp;A, con evaluación rigurosa y conclusiones prudentes.</w:t>
            </w:r>
          </w:p>
        </w:tc>
      </w:tr>
      <w:tr w:rsidR="00047411" w14:paraId="5400C296" w14:textId="77777777">
        <w:trPr>
          <w:jc w:val="center"/>
        </w:trPr>
        <w:tc>
          <w:tcPr>
            <w:tcW w:w="454" w:type="dxa"/>
          </w:tcPr>
          <w:p w14:paraId="5086BA62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402" w:type="dxa"/>
          </w:tcPr>
          <w:p w14:paraId="5BA91A3E" w14:textId="77777777" w:rsidR="00047411" w:rsidRDefault="00000000">
            <w:pPr>
              <w:spacing w:after="0"/>
            </w:pPr>
            <w:r>
              <w:rPr>
                <w:sz w:val="16"/>
              </w:rPr>
              <w:t>Índice</w:t>
            </w:r>
          </w:p>
        </w:tc>
        <w:tc>
          <w:tcPr>
            <w:tcW w:w="1077" w:type="dxa"/>
          </w:tcPr>
          <w:p w14:paraId="016091CC" w14:textId="77777777" w:rsidR="00047411" w:rsidRDefault="00000000">
            <w:pPr>
              <w:spacing w:after="0"/>
            </w:pPr>
            <w:r>
              <w:rPr>
                <w:sz w:val="16"/>
              </w:rPr>
              <w:t>Persona 1</w:t>
            </w:r>
          </w:p>
        </w:tc>
        <w:tc>
          <w:tcPr>
            <w:tcW w:w="567" w:type="dxa"/>
          </w:tcPr>
          <w:p w14:paraId="70C5E758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0,5</w:t>
            </w:r>
          </w:p>
        </w:tc>
        <w:tc>
          <w:tcPr>
            <w:tcW w:w="4252" w:type="dxa"/>
          </w:tcPr>
          <w:p w14:paraId="73490990" w14:textId="77777777" w:rsidR="00047411" w:rsidRDefault="00000000">
            <w:pPr>
              <w:spacing w:after="0"/>
            </w:pPr>
            <w:r>
              <w:rPr>
                <w:sz w:val="16"/>
              </w:rPr>
              <w:t>La defensa va de la pregunta a la conclusión: problema → diseño → resultados → interpretación → cierre.</w:t>
            </w:r>
          </w:p>
        </w:tc>
      </w:tr>
      <w:tr w:rsidR="00047411" w14:paraId="5A1683D1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3C35D646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402" w:type="dxa"/>
            <w:shd w:val="clear" w:color="auto" w:fill="F2F2F5"/>
          </w:tcPr>
          <w:p w14:paraId="786A16D7" w14:textId="77777777" w:rsidR="00047411" w:rsidRDefault="00000000">
            <w:pPr>
              <w:spacing w:after="0"/>
            </w:pPr>
            <w:r>
              <w:rPr>
                <w:sz w:val="16"/>
              </w:rPr>
              <w:t>Los modelos se eligen sin evidencia comparativa suficiente</w:t>
            </w:r>
          </w:p>
        </w:tc>
        <w:tc>
          <w:tcPr>
            <w:tcW w:w="1077" w:type="dxa"/>
            <w:shd w:val="clear" w:color="auto" w:fill="F2F2F5"/>
          </w:tcPr>
          <w:p w14:paraId="18FB2706" w14:textId="77777777" w:rsidR="00047411" w:rsidRDefault="00000000">
            <w:pPr>
              <w:spacing w:after="0"/>
            </w:pPr>
            <w:r>
              <w:rPr>
                <w:sz w:val="16"/>
              </w:rPr>
              <w:t>Persona 1</w:t>
            </w:r>
          </w:p>
        </w:tc>
        <w:tc>
          <w:tcPr>
            <w:tcW w:w="567" w:type="dxa"/>
            <w:shd w:val="clear" w:color="auto" w:fill="F2F2F5"/>
          </w:tcPr>
          <w:p w14:paraId="7614E0D3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1,25</w:t>
            </w:r>
          </w:p>
        </w:tc>
        <w:tc>
          <w:tcPr>
            <w:tcW w:w="4252" w:type="dxa"/>
            <w:shd w:val="clear" w:color="auto" w:fill="F2F2F5"/>
          </w:tcPr>
          <w:p w14:paraId="1A020214" w14:textId="77777777" w:rsidR="00047411" w:rsidRDefault="00000000">
            <w:pPr>
              <w:spacing w:after="0"/>
            </w:pPr>
            <w:r>
              <w:rPr>
                <w:sz w:val="16"/>
              </w:rPr>
              <w:t>El problema es decidir sin evidencia comparativa, no una preferencia por simple o complejo.</w:t>
            </w:r>
          </w:p>
        </w:tc>
      </w:tr>
      <w:tr w:rsidR="00047411" w14:paraId="2C0B3686" w14:textId="77777777">
        <w:trPr>
          <w:jc w:val="center"/>
        </w:trPr>
        <w:tc>
          <w:tcPr>
            <w:tcW w:w="454" w:type="dxa"/>
          </w:tcPr>
          <w:p w14:paraId="2CCBDEDD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3402" w:type="dxa"/>
          </w:tcPr>
          <w:p w14:paraId="24319A61" w14:textId="77777777" w:rsidR="00047411" w:rsidRDefault="00000000">
            <w:pPr>
              <w:spacing w:after="0"/>
            </w:pPr>
            <w:r>
              <w:rPr>
                <w:sz w:val="16"/>
              </w:rPr>
              <w:t>La literatura deja tres brechas abiertas</w:t>
            </w:r>
          </w:p>
        </w:tc>
        <w:tc>
          <w:tcPr>
            <w:tcW w:w="1077" w:type="dxa"/>
          </w:tcPr>
          <w:p w14:paraId="1DFC49C4" w14:textId="77777777" w:rsidR="00047411" w:rsidRDefault="00000000">
            <w:pPr>
              <w:spacing w:after="0"/>
            </w:pPr>
            <w:r>
              <w:rPr>
                <w:sz w:val="16"/>
              </w:rPr>
              <w:t>Persona 1</w:t>
            </w:r>
          </w:p>
        </w:tc>
        <w:tc>
          <w:tcPr>
            <w:tcW w:w="567" w:type="dxa"/>
          </w:tcPr>
          <w:p w14:paraId="72A6A577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1,25</w:t>
            </w:r>
          </w:p>
        </w:tc>
        <w:tc>
          <w:tcPr>
            <w:tcW w:w="4252" w:type="dxa"/>
          </w:tcPr>
          <w:p w14:paraId="7E26A815" w14:textId="77777777" w:rsidR="00047411" w:rsidRDefault="00000000">
            <w:pPr>
              <w:spacing w:after="0"/>
            </w:pPr>
            <w:r>
              <w:rPr>
                <w:sz w:val="16"/>
              </w:rPr>
              <w:t>El trabajo aporta evidencia comparativa y un primer criterio de selección, sin pretender cerrar las brechas.</w:t>
            </w:r>
          </w:p>
        </w:tc>
      </w:tr>
      <w:tr w:rsidR="00047411" w14:paraId="15E450C3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45378720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lastRenderedPageBreak/>
              <w:t>5</w:t>
            </w:r>
          </w:p>
        </w:tc>
        <w:tc>
          <w:tcPr>
            <w:tcW w:w="3402" w:type="dxa"/>
            <w:shd w:val="clear" w:color="auto" w:fill="F2F2F5"/>
          </w:tcPr>
          <w:p w14:paraId="7E47A54C" w14:textId="77777777" w:rsidR="00047411" w:rsidRDefault="00000000">
            <w:pPr>
              <w:spacing w:after="0"/>
            </w:pPr>
            <w:r>
              <w:rPr>
                <w:sz w:val="16"/>
              </w:rPr>
              <w:t>Siete modelos en cuatro niveles de complejidad creciente</w:t>
            </w:r>
          </w:p>
        </w:tc>
        <w:tc>
          <w:tcPr>
            <w:tcW w:w="1077" w:type="dxa"/>
            <w:shd w:val="clear" w:color="auto" w:fill="F2F2F5"/>
          </w:tcPr>
          <w:p w14:paraId="1D9D4A2D" w14:textId="77777777" w:rsidR="00047411" w:rsidRDefault="00000000">
            <w:pPr>
              <w:spacing w:after="0"/>
            </w:pPr>
            <w:r>
              <w:rPr>
                <w:sz w:val="16"/>
              </w:rPr>
              <w:t>Persona 1</w:t>
            </w:r>
          </w:p>
        </w:tc>
        <w:tc>
          <w:tcPr>
            <w:tcW w:w="567" w:type="dxa"/>
            <w:shd w:val="clear" w:color="auto" w:fill="F2F2F5"/>
          </w:tcPr>
          <w:p w14:paraId="363353AD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1,5</w:t>
            </w:r>
          </w:p>
        </w:tc>
        <w:tc>
          <w:tcPr>
            <w:tcW w:w="4252" w:type="dxa"/>
            <w:shd w:val="clear" w:color="auto" w:fill="F2F2F5"/>
          </w:tcPr>
          <w:p w14:paraId="6A1DD795" w14:textId="77777777" w:rsidR="00047411" w:rsidRDefault="00000000">
            <w:pPr>
              <w:spacing w:after="0"/>
            </w:pPr>
            <w:r>
              <w:rPr>
                <w:sz w:val="16"/>
              </w:rPr>
              <w:t>Siete modelos comparables bajo el mismo protocolo, con una asimetría de optimización reconocida.</w:t>
            </w:r>
          </w:p>
        </w:tc>
      </w:tr>
      <w:tr w:rsidR="00047411" w14:paraId="56FA08BB" w14:textId="77777777">
        <w:trPr>
          <w:jc w:val="center"/>
        </w:trPr>
        <w:tc>
          <w:tcPr>
            <w:tcW w:w="454" w:type="dxa"/>
          </w:tcPr>
          <w:p w14:paraId="72FB1650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3402" w:type="dxa"/>
          </w:tcPr>
          <w:p w14:paraId="2593F439" w14:textId="77777777" w:rsidR="00047411" w:rsidRDefault="00000000">
            <w:pPr>
              <w:spacing w:after="0"/>
            </w:pPr>
            <w:r>
              <w:rPr>
                <w:sz w:val="16"/>
              </w:rPr>
              <w:t>Un objetivo general y cinco objetivos verificables</w:t>
            </w:r>
          </w:p>
        </w:tc>
        <w:tc>
          <w:tcPr>
            <w:tcW w:w="1077" w:type="dxa"/>
          </w:tcPr>
          <w:p w14:paraId="380CFD9B" w14:textId="455B6C38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1</w:t>
            </w:r>
          </w:p>
        </w:tc>
        <w:tc>
          <w:tcPr>
            <w:tcW w:w="567" w:type="dxa"/>
          </w:tcPr>
          <w:p w14:paraId="656A0769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1,0</w:t>
            </w:r>
          </w:p>
        </w:tc>
        <w:tc>
          <w:tcPr>
            <w:tcW w:w="4252" w:type="dxa"/>
          </w:tcPr>
          <w:p w14:paraId="2FAB3AC3" w14:textId="77777777" w:rsidR="00047411" w:rsidRDefault="00000000">
            <w:pPr>
              <w:spacing w:after="0"/>
            </w:pPr>
            <w:r>
              <w:rPr>
                <w:sz w:val="16"/>
              </w:rPr>
              <w:t>Los objetivos son verificables y el cierre los evaluará uno por uno.</w:t>
            </w:r>
          </w:p>
        </w:tc>
      </w:tr>
      <w:tr w:rsidR="00047411" w14:paraId="493803A0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512DC91F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3402" w:type="dxa"/>
            <w:shd w:val="clear" w:color="auto" w:fill="F2F2F5"/>
          </w:tcPr>
          <w:p w14:paraId="64898646" w14:textId="77777777" w:rsidR="00047411" w:rsidRDefault="00000000">
            <w:pPr>
              <w:spacing w:after="0"/>
            </w:pPr>
            <w:r>
              <w:rPr>
                <w:sz w:val="16"/>
              </w:rPr>
              <w:t>Un pipeline modular y reproducible, de los datos a los resultados</w:t>
            </w:r>
          </w:p>
        </w:tc>
        <w:tc>
          <w:tcPr>
            <w:tcW w:w="1077" w:type="dxa"/>
            <w:shd w:val="clear" w:color="auto" w:fill="F2F2F5"/>
          </w:tcPr>
          <w:p w14:paraId="0AF1075F" w14:textId="20F069D5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1</w:t>
            </w:r>
          </w:p>
        </w:tc>
        <w:tc>
          <w:tcPr>
            <w:tcW w:w="567" w:type="dxa"/>
            <w:shd w:val="clear" w:color="auto" w:fill="F2F2F5"/>
          </w:tcPr>
          <w:p w14:paraId="5BB4761E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1,0</w:t>
            </w:r>
          </w:p>
        </w:tc>
        <w:tc>
          <w:tcPr>
            <w:tcW w:w="4252" w:type="dxa"/>
            <w:shd w:val="clear" w:color="auto" w:fill="F2F2F5"/>
          </w:tcPr>
          <w:p w14:paraId="352435FD" w14:textId="77777777" w:rsidR="00047411" w:rsidRDefault="00000000">
            <w:pPr>
              <w:spacing w:after="0"/>
            </w:pPr>
            <w:r>
              <w:rPr>
                <w:sz w:val="16"/>
              </w:rPr>
              <w:t>Un pipeline modular y documentado, diseñado para favorecer la reproducibilidad.</w:t>
            </w:r>
          </w:p>
        </w:tc>
      </w:tr>
      <w:tr w:rsidR="00047411" w14:paraId="17B03CAE" w14:textId="77777777">
        <w:trPr>
          <w:jc w:val="center"/>
        </w:trPr>
        <w:tc>
          <w:tcPr>
            <w:tcW w:w="454" w:type="dxa"/>
          </w:tcPr>
          <w:p w14:paraId="04EFED5E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3402" w:type="dxa"/>
          </w:tcPr>
          <w:p w14:paraId="0371D345" w14:textId="77777777" w:rsidR="00047411" w:rsidRDefault="00000000">
            <w:pPr>
              <w:spacing w:after="0"/>
            </w:pPr>
            <w:r>
              <w:rPr>
                <w:sz w:val="16"/>
              </w:rPr>
              <w:t>De 10.987 series M4 a una submuestra estratificada de 200</w:t>
            </w:r>
          </w:p>
        </w:tc>
        <w:tc>
          <w:tcPr>
            <w:tcW w:w="1077" w:type="dxa"/>
          </w:tcPr>
          <w:p w14:paraId="40C2A04F" w14:textId="50543E39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1</w:t>
            </w:r>
          </w:p>
        </w:tc>
        <w:tc>
          <w:tcPr>
            <w:tcW w:w="567" w:type="dxa"/>
          </w:tcPr>
          <w:p w14:paraId="058CD0EB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1,25</w:t>
            </w:r>
          </w:p>
        </w:tc>
        <w:tc>
          <w:tcPr>
            <w:tcW w:w="4252" w:type="dxa"/>
          </w:tcPr>
          <w:p w14:paraId="06376F29" w14:textId="77777777" w:rsidR="00047411" w:rsidRDefault="00000000">
            <w:pPr>
              <w:spacing w:after="0"/>
            </w:pPr>
            <w:r>
              <w:rPr>
                <w:sz w:val="16"/>
              </w:rPr>
              <w:t>Datos públicos y comparables con otros estudios, usados con la cautela de que son un proxy.</w:t>
            </w:r>
          </w:p>
        </w:tc>
      </w:tr>
      <w:tr w:rsidR="00047411" w14:paraId="6B58D833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5F14AF4F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3402" w:type="dxa"/>
            <w:shd w:val="clear" w:color="auto" w:fill="F2F2F5"/>
          </w:tcPr>
          <w:p w14:paraId="37964A35" w14:textId="77777777" w:rsidR="00047411" w:rsidRDefault="00000000">
            <w:pPr>
              <w:spacing w:after="0"/>
            </w:pPr>
            <w:r>
              <w:rPr>
                <w:sz w:val="16"/>
              </w:rPr>
              <w:t>Walk-forward con ventana creciente y hasta cinco folds</w:t>
            </w:r>
          </w:p>
        </w:tc>
        <w:tc>
          <w:tcPr>
            <w:tcW w:w="1077" w:type="dxa"/>
            <w:shd w:val="clear" w:color="auto" w:fill="F2F2F5"/>
          </w:tcPr>
          <w:p w14:paraId="1BA9AB4C" w14:textId="6F328B4B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0F6353">
              <w:rPr>
                <w:sz w:val="16"/>
              </w:rPr>
              <w:t>1</w:t>
            </w:r>
          </w:p>
        </w:tc>
        <w:tc>
          <w:tcPr>
            <w:tcW w:w="567" w:type="dxa"/>
            <w:shd w:val="clear" w:color="auto" w:fill="F2F2F5"/>
          </w:tcPr>
          <w:p w14:paraId="571D467E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1,5</w:t>
            </w:r>
          </w:p>
        </w:tc>
        <w:tc>
          <w:tcPr>
            <w:tcW w:w="4252" w:type="dxa"/>
            <w:shd w:val="clear" w:color="auto" w:fill="F2F2F5"/>
          </w:tcPr>
          <w:p w14:paraId="19263F58" w14:textId="77777777" w:rsidR="00047411" w:rsidRDefault="00000000">
            <w:pPr>
              <w:spacing w:after="0"/>
            </w:pPr>
            <w:r>
              <w:rPr>
                <w:sz w:val="16"/>
              </w:rPr>
              <w:t>El protocolo permite ver el desempeño en varios orígenes de pronóstico y no solo en un corte.</w:t>
            </w:r>
          </w:p>
        </w:tc>
      </w:tr>
      <w:tr w:rsidR="00047411" w14:paraId="32CBC55B" w14:textId="77777777">
        <w:trPr>
          <w:jc w:val="center"/>
        </w:trPr>
        <w:tc>
          <w:tcPr>
            <w:tcW w:w="454" w:type="dxa"/>
          </w:tcPr>
          <w:p w14:paraId="4A6B166F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3402" w:type="dxa"/>
          </w:tcPr>
          <w:p w14:paraId="09488E8C" w14:textId="77777777" w:rsidR="00047411" w:rsidRDefault="00000000">
            <w:pPr>
              <w:spacing w:after="0"/>
            </w:pPr>
            <w:r>
              <w:rPr>
                <w:sz w:val="16"/>
              </w:rPr>
              <w:t>Sin fuga de información y 20/20 pruebas superadas</w:t>
            </w:r>
          </w:p>
        </w:tc>
        <w:tc>
          <w:tcPr>
            <w:tcW w:w="1077" w:type="dxa"/>
          </w:tcPr>
          <w:p w14:paraId="3F914BC1" w14:textId="775256B1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2</w:t>
            </w:r>
          </w:p>
        </w:tc>
        <w:tc>
          <w:tcPr>
            <w:tcW w:w="567" w:type="dxa"/>
          </w:tcPr>
          <w:p w14:paraId="4413FC1C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1,0</w:t>
            </w:r>
          </w:p>
        </w:tc>
        <w:tc>
          <w:tcPr>
            <w:tcW w:w="4252" w:type="dxa"/>
          </w:tcPr>
          <w:p w14:paraId="4DBBA593" w14:textId="77777777" w:rsidR="00047411" w:rsidRDefault="00000000">
            <w:pPr>
              <w:spacing w:after="0"/>
            </w:pPr>
            <w:r>
              <w:rPr>
                <w:sz w:val="16"/>
              </w:rPr>
              <w:t>Rigor comprobable: sin fuga, pruebas superadas y entorno documentado.</w:t>
            </w:r>
          </w:p>
        </w:tc>
      </w:tr>
      <w:tr w:rsidR="00047411" w14:paraId="2CD1D5BC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4E5EFC70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3402" w:type="dxa"/>
            <w:shd w:val="clear" w:color="auto" w:fill="F2F2F5"/>
          </w:tcPr>
          <w:p w14:paraId="2D07405C" w14:textId="77777777" w:rsidR="00047411" w:rsidRDefault="00000000">
            <w:pPr>
              <w:spacing w:after="0"/>
            </w:pPr>
            <w:r>
              <w:rPr>
                <w:sz w:val="16"/>
              </w:rPr>
              <w:t>Los criterios de éxito se fijaron antes de ejecutar</w:t>
            </w:r>
          </w:p>
        </w:tc>
        <w:tc>
          <w:tcPr>
            <w:tcW w:w="1077" w:type="dxa"/>
            <w:shd w:val="clear" w:color="auto" w:fill="F2F2F5"/>
          </w:tcPr>
          <w:p w14:paraId="0A3CE3F0" w14:textId="77777777" w:rsidR="00047411" w:rsidRDefault="00000000">
            <w:pPr>
              <w:spacing w:after="0"/>
            </w:pPr>
            <w:r>
              <w:rPr>
                <w:sz w:val="16"/>
              </w:rPr>
              <w:t>Persona 2</w:t>
            </w:r>
          </w:p>
        </w:tc>
        <w:tc>
          <w:tcPr>
            <w:tcW w:w="567" w:type="dxa"/>
            <w:shd w:val="clear" w:color="auto" w:fill="F2F2F5"/>
          </w:tcPr>
          <w:p w14:paraId="5D0131D9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1,0</w:t>
            </w:r>
          </w:p>
        </w:tc>
        <w:tc>
          <w:tcPr>
            <w:tcW w:w="4252" w:type="dxa"/>
            <w:shd w:val="clear" w:color="auto" w:fill="F2F2F5"/>
          </w:tcPr>
          <w:p w14:paraId="11E22C80" w14:textId="77777777" w:rsidR="00047411" w:rsidRDefault="00000000">
            <w:pPr>
              <w:spacing w:after="0"/>
            </w:pPr>
            <w:r>
              <w:rPr>
                <w:sz w:val="16"/>
              </w:rPr>
              <w:t>Criterios explícitos y a priori; el umbral de estabilidad es exploratorio.</w:t>
            </w:r>
          </w:p>
        </w:tc>
      </w:tr>
      <w:tr w:rsidR="00047411" w14:paraId="38A7249E" w14:textId="77777777">
        <w:trPr>
          <w:jc w:val="center"/>
        </w:trPr>
        <w:tc>
          <w:tcPr>
            <w:tcW w:w="454" w:type="dxa"/>
          </w:tcPr>
          <w:p w14:paraId="09015FB9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3402" w:type="dxa"/>
          </w:tcPr>
          <w:p w14:paraId="14C1E831" w14:textId="77777777" w:rsidR="00047411" w:rsidRDefault="00000000">
            <w:pPr>
              <w:spacing w:after="0"/>
            </w:pPr>
            <w:r>
              <w:rPr>
                <w:sz w:val="16"/>
              </w:rPr>
              <w:t>Seis métricas; WAPE es un proxy de materialidad</w:t>
            </w:r>
          </w:p>
        </w:tc>
        <w:tc>
          <w:tcPr>
            <w:tcW w:w="1077" w:type="dxa"/>
          </w:tcPr>
          <w:p w14:paraId="6DF56B2D" w14:textId="68A7306D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2</w:t>
            </w:r>
          </w:p>
        </w:tc>
        <w:tc>
          <w:tcPr>
            <w:tcW w:w="567" w:type="dxa"/>
          </w:tcPr>
          <w:p w14:paraId="7B1D9335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1,0</w:t>
            </w:r>
          </w:p>
        </w:tc>
        <w:tc>
          <w:tcPr>
            <w:tcW w:w="4252" w:type="dxa"/>
          </w:tcPr>
          <w:p w14:paraId="38A54DD1" w14:textId="77777777" w:rsidR="00047411" w:rsidRDefault="00000000">
            <w:pPr>
              <w:spacing w:after="0"/>
            </w:pPr>
            <w:r>
              <w:rPr>
                <w:sz w:val="16"/>
              </w:rPr>
              <w:t>WAPE y el análisis por volumen aproximan la materialidad; no miden impacto económico.</w:t>
            </w:r>
          </w:p>
        </w:tc>
      </w:tr>
      <w:tr w:rsidR="00047411" w14:paraId="59016F18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7F348521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3402" w:type="dxa"/>
            <w:shd w:val="clear" w:color="auto" w:fill="F2F2F5"/>
          </w:tcPr>
          <w:p w14:paraId="1CE44AFC" w14:textId="77777777" w:rsidR="00047411" w:rsidRDefault="00000000">
            <w:pPr>
              <w:spacing w:after="0"/>
            </w:pPr>
            <w:r>
              <w:rPr>
                <w:sz w:val="16"/>
              </w:rPr>
              <w:t>ETS obtiene el menor error en las seis métricas</w:t>
            </w:r>
          </w:p>
        </w:tc>
        <w:tc>
          <w:tcPr>
            <w:tcW w:w="1077" w:type="dxa"/>
            <w:shd w:val="clear" w:color="auto" w:fill="F2F2F5"/>
          </w:tcPr>
          <w:p w14:paraId="7D1D7318" w14:textId="37405100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2</w:t>
            </w:r>
          </w:p>
        </w:tc>
        <w:tc>
          <w:tcPr>
            <w:tcW w:w="567" w:type="dxa"/>
            <w:shd w:val="clear" w:color="auto" w:fill="F2F2F5"/>
          </w:tcPr>
          <w:p w14:paraId="6DD55FD8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1,0</w:t>
            </w:r>
          </w:p>
        </w:tc>
        <w:tc>
          <w:tcPr>
            <w:tcW w:w="4252" w:type="dxa"/>
            <w:shd w:val="clear" w:color="auto" w:fill="F2F2F5"/>
          </w:tcPr>
          <w:p w14:paraId="2DCAD2B0" w14:textId="77777777" w:rsidR="00047411" w:rsidRDefault="00000000">
            <w:pPr>
              <w:spacing w:after="0"/>
            </w:pPr>
            <w:r>
              <w:rPr>
                <w:sz w:val="16"/>
              </w:rPr>
              <w:t>ETS lidera las seis métricas y la mejora es significativa, bajo las condiciones del estudio.</w:t>
            </w:r>
          </w:p>
        </w:tc>
      </w:tr>
      <w:tr w:rsidR="00047411" w14:paraId="700E6C0C" w14:textId="77777777">
        <w:trPr>
          <w:jc w:val="center"/>
        </w:trPr>
        <w:tc>
          <w:tcPr>
            <w:tcW w:w="454" w:type="dxa"/>
          </w:tcPr>
          <w:p w14:paraId="270FDEA9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3402" w:type="dxa"/>
          </w:tcPr>
          <w:p w14:paraId="26DDC54C" w14:textId="77777777" w:rsidR="00047411" w:rsidRDefault="00000000">
            <w:pPr>
              <w:spacing w:after="0"/>
            </w:pPr>
            <w:r>
              <w:rPr>
                <w:sz w:val="16"/>
              </w:rPr>
              <w:t>Los estadísticos clásicos lideran el ranking de sMAPE</w:t>
            </w:r>
          </w:p>
        </w:tc>
        <w:tc>
          <w:tcPr>
            <w:tcW w:w="1077" w:type="dxa"/>
          </w:tcPr>
          <w:p w14:paraId="24E6CE86" w14:textId="242F2E36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2</w:t>
            </w:r>
          </w:p>
        </w:tc>
        <w:tc>
          <w:tcPr>
            <w:tcW w:w="567" w:type="dxa"/>
          </w:tcPr>
          <w:p w14:paraId="458DC352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1,0</w:t>
            </w:r>
          </w:p>
        </w:tc>
        <w:tc>
          <w:tcPr>
            <w:tcW w:w="4252" w:type="dxa"/>
          </w:tcPr>
          <w:p w14:paraId="6A8AF60E" w14:textId="77777777" w:rsidR="00047411" w:rsidRDefault="00000000">
            <w:pPr>
              <w:spacing w:after="0"/>
            </w:pPr>
            <w:r>
              <w:rPr>
                <w:sz w:val="16"/>
              </w:rPr>
              <w:t>Los tres estadísticos clásicos quedan por delante de los modelos de ML y DL.</w:t>
            </w:r>
          </w:p>
        </w:tc>
      </w:tr>
      <w:tr w:rsidR="00047411" w14:paraId="34BE8782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7453F6F3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3402" w:type="dxa"/>
            <w:shd w:val="clear" w:color="auto" w:fill="F2F2F5"/>
          </w:tcPr>
          <w:p w14:paraId="5435CC60" w14:textId="77777777" w:rsidR="00047411" w:rsidRDefault="00000000">
            <w:pPr>
              <w:spacing w:after="0"/>
            </w:pPr>
            <w:r>
              <w:rPr>
                <w:sz w:val="16"/>
              </w:rPr>
              <w:t>ETS lidera también MAE, RMSE, MAPE, MASE y WAPE</w:t>
            </w:r>
          </w:p>
        </w:tc>
        <w:tc>
          <w:tcPr>
            <w:tcW w:w="1077" w:type="dxa"/>
            <w:shd w:val="clear" w:color="auto" w:fill="F2F2F5"/>
          </w:tcPr>
          <w:p w14:paraId="2EEE61B5" w14:textId="17FAC4CF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2</w:t>
            </w:r>
          </w:p>
        </w:tc>
        <w:tc>
          <w:tcPr>
            <w:tcW w:w="567" w:type="dxa"/>
            <w:shd w:val="clear" w:color="auto" w:fill="F2F2F5"/>
          </w:tcPr>
          <w:p w14:paraId="0A2726A3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1,0</w:t>
            </w:r>
          </w:p>
        </w:tc>
        <w:tc>
          <w:tcPr>
            <w:tcW w:w="4252" w:type="dxa"/>
            <w:shd w:val="clear" w:color="auto" w:fill="F2F2F5"/>
          </w:tcPr>
          <w:p w14:paraId="1B01F271" w14:textId="77777777" w:rsidR="00047411" w:rsidRDefault="00000000">
            <w:pPr>
              <w:spacing w:after="0"/>
            </w:pPr>
            <w:r>
              <w:rPr>
                <w:sz w:val="16"/>
              </w:rPr>
              <w:t>La superioridad de ETS no es un artefacto de una sola métrica.</w:t>
            </w:r>
          </w:p>
        </w:tc>
      </w:tr>
      <w:tr w:rsidR="00047411" w14:paraId="04512716" w14:textId="77777777">
        <w:trPr>
          <w:jc w:val="center"/>
        </w:trPr>
        <w:tc>
          <w:tcPr>
            <w:tcW w:w="454" w:type="dxa"/>
          </w:tcPr>
          <w:p w14:paraId="0C615162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3402" w:type="dxa"/>
          </w:tcPr>
          <w:p w14:paraId="0C7BD733" w14:textId="77777777" w:rsidR="00047411" w:rsidRDefault="00000000">
            <w:pPr>
              <w:spacing w:after="0"/>
            </w:pPr>
            <w:r>
              <w:rPr>
                <w:sz w:val="16"/>
              </w:rPr>
              <w:t>La mejora es significativa y resiste Bonferroni</w:t>
            </w:r>
          </w:p>
        </w:tc>
        <w:tc>
          <w:tcPr>
            <w:tcW w:w="1077" w:type="dxa"/>
          </w:tcPr>
          <w:p w14:paraId="05FB74A8" w14:textId="2904C520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2</w:t>
            </w:r>
          </w:p>
        </w:tc>
        <w:tc>
          <w:tcPr>
            <w:tcW w:w="567" w:type="dxa"/>
          </w:tcPr>
          <w:p w14:paraId="1AB6FC31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1,5</w:t>
            </w:r>
          </w:p>
        </w:tc>
        <w:tc>
          <w:tcPr>
            <w:tcW w:w="4252" w:type="dxa"/>
          </w:tcPr>
          <w:p w14:paraId="78F5AF40" w14:textId="77777777" w:rsidR="00047411" w:rsidRDefault="00000000">
            <w:pPr>
              <w:spacing w:after="0"/>
            </w:pPr>
            <w:r>
              <w:rPr>
                <w:sz w:val="16"/>
              </w:rPr>
              <w:t>La ventaja de ETS es significativa y resiste la corrección por comparaciones múltiples.</w:t>
            </w:r>
          </w:p>
        </w:tc>
      </w:tr>
      <w:tr w:rsidR="00047411" w14:paraId="76A92C6F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38551BC8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3402" w:type="dxa"/>
            <w:shd w:val="clear" w:color="auto" w:fill="F2F2F5"/>
          </w:tcPr>
          <w:p w14:paraId="3417A89D" w14:textId="77777777" w:rsidR="00047411" w:rsidRDefault="00000000">
            <w:pPr>
              <w:spacing w:after="0"/>
            </w:pPr>
            <w:r>
              <w:rPr>
                <w:sz w:val="16"/>
              </w:rPr>
              <w:t>Ningún modelo alcanza el umbral de estabilidad</w:t>
            </w:r>
          </w:p>
        </w:tc>
        <w:tc>
          <w:tcPr>
            <w:tcW w:w="1077" w:type="dxa"/>
            <w:shd w:val="clear" w:color="auto" w:fill="F2F2F5"/>
          </w:tcPr>
          <w:p w14:paraId="0AAC6A87" w14:textId="55008356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2</w:t>
            </w:r>
          </w:p>
        </w:tc>
        <w:tc>
          <w:tcPr>
            <w:tcW w:w="567" w:type="dxa"/>
            <w:shd w:val="clear" w:color="auto" w:fill="F2F2F5"/>
          </w:tcPr>
          <w:p w14:paraId="137F6834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1,5</w:t>
            </w:r>
          </w:p>
        </w:tc>
        <w:tc>
          <w:tcPr>
            <w:tcW w:w="4252" w:type="dxa"/>
            <w:shd w:val="clear" w:color="auto" w:fill="F2F2F5"/>
          </w:tcPr>
          <w:p w14:paraId="19CD5E59" w14:textId="77777777" w:rsidR="00047411" w:rsidRDefault="00000000">
            <w:pPr>
              <w:spacing w:after="0"/>
            </w:pPr>
            <w:r>
              <w:rPr>
                <w:sz w:val="16"/>
              </w:rPr>
              <w:t>Ningún modelo alcanza el umbral exploratorio de estabilidad; el patrón se interpreta con cautela.</w:t>
            </w:r>
          </w:p>
        </w:tc>
      </w:tr>
      <w:tr w:rsidR="00047411" w14:paraId="67B6F3E0" w14:textId="77777777">
        <w:trPr>
          <w:jc w:val="center"/>
        </w:trPr>
        <w:tc>
          <w:tcPr>
            <w:tcW w:w="454" w:type="dxa"/>
          </w:tcPr>
          <w:p w14:paraId="531A8FB1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3402" w:type="dxa"/>
          </w:tcPr>
          <w:p w14:paraId="3D074C66" w14:textId="77777777" w:rsidR="00047411" w:rsidRDefault="00000000">
            <w:pPr>
              <w:spacing w:after="0"/>
            </w:pPr>
            <w:r>
              <w:rPr>
                <w:sz w:val="16"/>
              </w:rPr>
              <w:t>ETS mantiene su ventaja en las series de mayor volumen</w:t>
            </w:r>
          </w:p>
        </w:tc>
        <w:tc>
          <w:tcPr>
            <w:tcW w:w="1077" w:type="dxa"/>
          </w:tcPr>
          <w:p w14:paraId="5C0AA963" w14:textId="5F5CA421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0F6353">
              <w:rPr>
                <w:sz w:val="16"/>
              </w:rPr>
              <w:t>2</w:t>
            </w:r>
          </w:p>
        </w:tc>
        <w:tc>
          <w:tcPr>
            <w:tcW w:w="567" w:type="dxa"/>
          </w:tcPr>
          <w:p w14:paraId="20112DFB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1,5</w:t>
            </w:r>
          </w:p>
        </w:tc>
        <w:tc>
          <w:tcPr>
            <w:tcW w:w="4252" w:type="dxa"/>
          </w:tcPr>
          <w:p w14:paraId="4E1DC90E" w14:textId="77777777" w:rsidR="00047411" w:rsidRDefault="00000000">
            <w:pPr>
              <w:spacing w:after="0"/>
            </w:pPr>
            <w:r>
              <w:rPr>
                <w:sz w:val="16"/>
              </w:rPr>
              <w:t>La ventaja de ETS no se circunscribe a las series de menor cuantía.</w:t>
            </w:r>
          </w:p>
        </w:tc>
      </w:tr>
      <w:tr w:rsidR="00047411" w14:paraId="2D2E9641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70B6D7C0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3402" w:type="dxa"/>
            <w:shd w:val="clear" w:color="auto" w:fill="F2F2F5"/>
          </w:tcPr>
          <w:p w14:paraId="317FD8DC" w14:textId="77777777" w:rsidR="00047411" w:rsidRDefault="00000000">
            <w:pPr>
              <w:spacing w:after="0"/>
            </w:pPr>
            <w:r>
              <w:rPr>
                <w:sz w:val="16"/>
              </w:rPr>
              <w:t>Se cumplen sMAPE, WAPE y significación; no MASE ni CV</w:t>
            </w:r>
          </w:p>
        </w:tc>
        <w:tc>
          <w:tcPr>
            <w:tcW w:w="1077" w:type="dxa"/>
            <w:shd w:val="clear" w:color="auto" w:fill="F2F2F5"/>
          </w:tcPr>
          <w:p w14:paraId="10AF505C" w14:textId="77777777" w:rsidR="00047411" w:rsidRDefault="00000000">
            <w:pPr>
              <w:spacing w:after="0"/>
            </w:pPr>
            <w:r>
              <w:rPr>
                <w:sz w:val="16"/>
              </w:rPr>
              <w:t>Persona 3</w:t>
            </w:r>
          </w:p>
        </w:tc>
        <w:tc>
          <w:tcPr>
            <w:tcW w:w="567" w:type="dxa"/>
            <w:shd w:val="clear" w:color="auto" w:fill="F2F2F5"/>
          </w:tcPr>
          <w:p w14:paraId="30AA8422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1,0</w:t>
            </w:r>
          </w:p>
        </w:tc>
        <w:tc>
          <w:tcPr>
            <w:tcW w:w="4252" w:type="dxa"/>
            <w:shd w:val="clear" w:color="auto" w:fill="F2F2F5"/>
          </w:tcPr>
          <w:p w14:paraId="189BD45C" w14:textId="77777777" w:rsidR="00047411" w:rsidRDefault="00000000">
            <w:pPr>
              <w:spacing w:after="0"/>
            </w:pPr>
            <w:r>
              <w:rPr>
                <w:sz w:val="16"/>
              </w:rPr>
              <w:t>Resultado mixto, presentado sin maquillar.</w:t>
            </w:r>
          </w:p>
        </w:tc>
      </w:tr>
      <w:tr w:rsidR="00047411" w14:paraId="2A490B22" w14:textId="77777777">
        <w:trPr>
          <w:jc w:val="center"/>
        </w:trPr>
        <w:tc>
          <w:tcPr>
            <w:tcW w:w="454" w:type="dxa"/>
          </w:tcPr>
          <w:p w14:paraId="6F47045E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3402" w:type="dxa"/>
          </w:tcPr>
          <w:p w14:paraId="127F724D" w14:textId="77777777" w:rsidR="00047411" w:rsidRDefault="00000000">
            <w:pPr>
              <w:spacing w:after="0"/>
            </w:pPr>
            <w:r>
              <w:rPr>
                <w:sz w:val="16"/>
              </w:rPr>
              <w:t>Más complejidad no implicó mejor precisión</w:t>
            </w:r>
          </w:p>
        </w:tc>
        <w:tc>
          <w:tcPr>
            <w:tcW w:w="1077" w:type="dxa"/>
          </w:tcPr>
          <w:p w14:paraId="3E50BA08" w14:textId="430A525A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3</w:t>
            </w:r>
          </w:p>
        </w:tc>
        <w:tc>
          <w:tcPr>
            <w:tcW w:w="567" w:type="dxa"/>
          </w:tcPr>
          <w:p w14:paraId="39FD9861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1,5</w:t>
            </w:r>
          </w:p>
        </w:tc>
        <w:tc>
          <w:tcPr>
            <w:tcW w:w="4252" w:type="dxa"/>
          </w:tcPr>
          <w:p w14:paraId="50CB820D" w14:textId="77777777" w:rsidR="00047411" w:rsidRDefault="00000000">
            <w:pPr>
              <w:spacing w:after="0"/>
            </w:pPr>
            <w:r>
              <w:rPr>
                <w:sz w:val="16"/>
              </w:rPr>
              <w:t>Bajo estas condiciones, más complejidad no se tradujo en mejor precisión.</w:t>
            </w:r>
          </w:p>
        </w:tc>
      </w:tr>
      <w:tr w:rsidR="00047411" w14:paraId="0D51DFA0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4F3CEC18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3402" w:type="dxa"/>
            <w:shd w:val="clear" w:color="auto" w:fill="F2F2F5"/>
          </w:tcPr>
          <w:p w14:paraId="6F3A3F44" w14:textId="77777777" w:rsidR="00047411" w:rsidRDefault="00000000">
            <w:pPr>
              <w:spacing w:after="0"/>
            </w:pPr>
            <w:r>
              <w:rPr>
                <w:sz w:val="16"/>
              </w:rPr>
              <w:t>El paradigma global no garantiza menor coste</w:t>
            </w:r>
          </w:p>
        </w:tc>
        <w:tc>
          <w:tcPr>
            <w:tcW w:w="1077" w:type="dxa"/>
            <w:shd w:val="clear" w:color="auto" w:fill="F2F2F5"/>
          </w:tcPr>
          <w:p w14:paraId="2899F8C8" w14:textId="4D06AED6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3</w:t>
            </w:r>
          </w:p>
        </w:tc>
        <w:tc>
          <w:tcPr>
            <w:tcW w:w="567" w:type="dxa"/>
            <w:shd w:val="clear" w:color="auto" w:fill="F2F2F5"/>
          </w:tcPr>
          <w:p w14:paraId="35E9EBD8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1,25</w:t>
            </w:r>
          </w:p>
        </w:tc>
        <w:tc>
          <w:tcPr>
            <w:tcW w:w="4252" w:type="dxa"/>
            <w:shd w:val="clear" w:color="auto" w:fill="F2F2F5"/>
          </w:tcPr>
          <w:p w14:paraId="6A09997A" w14:textId="77777777" w:rsidR="00047411" w:rsidRDefault="00000000">
            <w:pPr>
              <w:spacing w:after="0"/>
            </w:pPr>
            <w:r>
              <w:rPr>
                <w:sz w:val="16"/>
              </w:rPr>
              <w:t>El paradigma global no garantiza por sí mismo menor coste; depende de la arquitectura.</w:t>
            </w:r>
          </w:p>
        </w:tc>
      </w:tr>
      <w:tr w:rsidR="00047411" w14:paraId="51B18EA8" w14:textId="77777777">
        <w:trPr>
          <w:jc w:val="center"/>
        </w:trPr>
        <w:tc>
          <w:tcPr>
            <w:tcW w:w="454" w:type="dxa"/>
          </w:tcPr>
          <w:p w14:paraId="18FCABBC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3402" w:type="dxa"/>
          </w:tcPr>
          <w:p w14:paraId="3054FE06" w14:textId="77777777" w:rsidR="00047411" w:rsidRDefault="00000000">
            <w:pPr>
              <w:spacing w:after="0"/>
            </w:pPr>
            <w:r>
              <w:rPr>
                <w:sz w:val="16"/>
              </w:rPr>
              <w:t>Propuesta preliminar de tres criterios, sin validar</w:t>
            </w:r>
          </w:p>
        </w:tc>
        <w:tc>
          <w:tcPr>
            <w:tcW w:w="1077" w:type="dxa"/>
          </w:tcPr>
          <w:p w14:paraId="47A204E5" w14:textId="611396E7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3</w:t>
            </w:r>
          </w:p>
        </w:tc>
        <w:tc>
          <w:tcPr>
            <w:tcW w:w="567" w:type="dxa"/>
          </w:tcPr>
          <w:p w14:paraId="2DA2A16E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1,25</w:t>
            </w:r>
          </w:p>
        </w:tc>
        <w:tc>
          <w:tcPr>
            <w:tcW w:w="4252" w:type="dxa"/>
          </w:tcPr>
          <w:p w14:paraId="5317C370" w14:textId="77777777" w:rsidR="00047411" w:rsidRDefault="00000000">
            <w:pPr>
              <w:spacing w:after="0"/>
            </w:pPr>
            <w:r>
              <w:rPr>
                <w:sz w:val="16"/>
              </w:rPr>
              <w:t>Es una propuesta heurística preliminar, no un framework validado.</w:t>
            </w:r>
          </w:p>
        </w:tc>
      </w:tr>
      <w:tr w:rsidR="00047411" w14:paraId="24E441FD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23BA9D3F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3402" w:type="dxa"/>
            <w:shd w:val="clear" w:color="auto" w:fill="F2F2F5"/>
          </w:tcPr>
          <w:p w14:paraId="492F4809" w14:textId="77777777" w:rsidR="00047411" w:rsidRDefault="00000000">
            <w:pPr>
              <w:spacing w:after="0"/>
            </w:pPr>
            <w:r>
              <w:rPr>
                <w:sz w:val="16"/>
              </w:rPr>
              <w:t>Las conclusiones están condicionadas por sus límites</w:t>
            </w:r>
          </w:p>
        </w:tc>
        <w:tc>
          <w:tcPr>
            <w:tcW w:w="1077" w:type="dxa"/>
            <w:shd w:val="clear" w:color="auto" w:fill="F2F2F5"/>
          </w:tcPr>
          <w:p w14:paraId="35EB6C6B" w14:textId="1FCC1E2B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3</w:t>
            </w:r>
          </w:p>
        </w:tc>
        <w:tc>
          <w:tcPr>
            <w:tcW w:w="567" w:type="dxa"/>
            <w:shd w:val="clear" w:color="auto" w:fill="F2F2F5"/>
          </w:tcPr>
          <w:p w14:paraId="23AB14F9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1,25</w:t>
            </w:r>
          </w:p>
        </w:tc>
        <w:tc>
          <w:tcPr>
            <w:tcW w:w="4252" w:type="dxa"/>
            <w:shd w:val="clear" w:color="auto" w:fill="F2F2F5"/>
          </w:tcPr>
          <w:p w14:paraId="75504E99" w14:textId="77777777" w:rsidR="00047411" w:rsidRDefault="00000000">
            <w:pPr>
              <w:spacing w:after="0"/>
            </w:pPr>
            <w:r>
              <w:rPr>
                <w:sz w:val="16"/>
              </w:rPr>
              <w:t>Las conclusiones valen bajo las condiciones del estudio, y el trabajo lo declara.</w:t>
            </w:r>
          </w:p>
        </w:tc>
      </w:tr>
      <w:tr w:rsidR="00047411" w14:paraId="4D589FF7" w14:textId="77777777">
        <w:trPr>
          <w:jc w:val="center"/>
        </w:trPr>
        <w:tc>
          <w:tcPr>
            <w:tcW w:w="454" w:type="dxa"/>
          </w:tcPr>
          <w:p w14:paraId="63C44ADE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3402" w:type="dxa"/>
          </w:tcPr>
          <w:p w14:paraId="7C791D2E" w14:textId="77777777" w:rsidR="00047411" w:rsidRDefault="00000000">
            <w:pPr>
              <w:spacing w:after="0"/>
            </w:pPr>
            <w:r>
              <w:rPr>
                <w:sz w:val="16"/>
              </w:rPr>
              <w:t>Cuatro objetivos alcanzados y uno parcialmente</w:t>
            </w:r>
          </w:p>
        </w:tc>
        <w:tc>
          <w:tcPr>
            <w:tcW w:w="1077" w:type="dxa"/>
          </w:tcPr>
          <w:p w14:paraId="4D617B8D" w14:textId="638D502D" w:rsidR="00047411" w:rsidRDefault="00000000">
            <w:pPr>
              <w:spacing w:after="0"/>
            </w:pPr>
            <w:r>
              <w:rPr>
                <w:sz w:val="16"/>
              </w:rPr>
              <w:t>P</w:t>
            </w:r>
            <w:r w:rsidR="00C80326">
              <w:rPr>
                <w:sz w:val="16"/>
              </w:rPr>
              <w:t>ersona 3</w:t>
            </w:r>
          </w:p>
        </w:tc>
        <w:tc>
          <w:tcPr>
            <w:tcW w:w="567" w:type="dxa"/>
          </w:tcPr>
          <w:p w14:paraId="2FCDA438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1,25</w:t>
            </w:r>
          </w:p>
        </w:tc>
        <w:tc>
          <w:tcPr>
            <w:tcW w:w="4252" w:type="dxa"/>
          </w:tcPr>
          <w:p w14:paraId="7F21C391" w14:textId="77777777" w:rsidR="00047411" w:rsidRDefault="00000000">
            <w:pPr>
              <w:spacing w:after="0"/>
            </w:pPr>
            <w:r>
              <w:rPr>
                <w:sz w:val="16"/>
              </w:rPr>
              <w:t>Objetivos cumplidos con honestidad sobre lo que queda por validar.</w:t>
            </w:r>
          </w:p>
        </w:tc>
      </w:tr>
      <w:tr w:rsidR="00047411" w14:paraId="71887729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5BFD9E2C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3402" w:type="dxa"/>
            <w:shd w:val="clear" w:color="auto" w:fill="F2F2F5"/>
          </w:tcPr>
          <w:p w14:paraId="2BA9D6DA" w14:textId="77777777" w:rsidR="00047411" w:rsidRDefault="00000000">
            <w:pPr>
              <w:spacing w:after="0"/>
            </w:pPr>
            <w:r>
              <w:rPr>
                <w:sz w:val="16"/>
              </w:rPr>
              <w:t>Primero validar el framework, después ampliar la técnica</w:t>
            </w:r>
          </w:p>
        </w:tc>
        <w:tc>
          <w:tcPr>
            <w:tcW w:w="1077" w:type="dxa"/>
            <w:shd w:val="clear" w:color="auto" w:fill="F2F2F5"/>
          </w:tcPr>
          <w:p w14:paraId="2DA42D02" w14:textId="0F25CCB5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3</w:t>
            </w:r>
          </w:p>
        </w:tc>
        <w:tc>
          <w:tcPr>
            <w:tcW w:w="567" w:type="dxa"/>
            <w:shd w:val="clear" w:color="auto" w:fill="F2F2F5"/>
          </w:tcPr>
          <w:p w14:paraId="0E5F67F7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1,0</w:t>
            </w:r>
          </w:p>
        </w:tc>
        <w:tc>
          <w:tcPr>
            <w:tcW w:w="4252" w:type="dxa"/>
            <w:shd w:val="clear" w:color="auto" w:fill="F2F2F5"/>
          </w:tcPr>
          <w:p w14:paraId="7D243815" w14:textId="77777777" w:rsidR="00047411" w:rsidRDefault="00000000">
            <w:pPr>
              <w:spacing w:after="0"/>
            </w:pPr>
            <w:r>
              <w:rPr>
                <w:sz w:val="16"/>
              </w:rPr>
              <w:t>Primero validar, después ampliar.</w:t>
            </w:r>
          </w:p>
        </w:tc>
      </w:tr>
      <w:tr w:rsidR="00047411" w14:paraId="6DD0C569" w14:textId="77777777">
        <w:trPr>
          <w:jc w:val="center"/>
        </w:trPr>
        <w:tc>
          <w:tcPr>
            <w:tcW w:w="454" w:type="dxa"/>
          </w:tcPr>
          <w:p w14:paraId="1B5051B7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3402" w:type="dxa"/>
          </w:tcPr>
          <w:p w14:paraId="735B89A8" w14:textId="77777777" w:rsidR="00047411" w:rsidRDefault="00000000">
            <w:pPr>
              <w:spacing w:after="0"/>
            </w:pPr>
            <w:r>
              <w:rPr>
                <w:sz w:val="16"/>
              </w:rPr>
              <w:t>Cierre y turno de preguntas</w:t>
            </w:r>
          </w:p>
        </w:tc>
        <w:tc>
          <w:tcPr>
            <w:tcW w:w="1077" w:type="dxa"/>
          </w:tcPr>
          <w:p w14:paraId="19BCEA5E" w14:textId="0AE2474A" w:rsidR="00047411" w:rsidRDefault="00000000">
            <w:pPr>
              <w:spacing w:after="0"/>
            </w:pPr>
            <w:r>
              <w:rPr>
                <w:sz w:val="16"/>
              </w:rPr>
              <w:t xml:space="preserve">Persona </w:t>
            </w:r>
            <w:r w:rsidR="00C80326">
              <w:rPr>
                <w:sz w:val="16"/>
              </w:rPr>
              <w:t>3</w:t>
            </w:r>
          </w:p>
        </w:tc>
        <w:tc>
          <w:tcPr>
            <w:tcW w:w="567" w:type="dxa"/>
          </w:tcPr>
          <w:p w14:paraId="7F77E732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0,25</w:t>
            </w:r>
          </w:p>
        </w:tc>
        <w:tc>
          <w:tcPr>
            <w:tcW w:w="4252" w:type="dxa"/>
          </w:tcPr>
          <w:p w14:paraId="35ED5B35" w14:textId="77777777" w:rsidR="00047411" w:rsidRDefault="00000000">
            <w:pPr>
              <w:spacing w:after="0"/>
            </w:pPr>
            <w:r>
              <w:rPr>
                <w:sz w:val="16"/>
              </w:rPr>
              <w:t>Gracias; disponibles para preguntas.</w:t>
            </w:r>
          </w:p>
        </w:tc>
      </w:tr>
      <w:tr w:rsidR="00047411" w14:paraId="631868A4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7D324015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3402" w:type="dxa"/>
            <w:shd w:val="clear" w:color="auto" w:fill="F2F2F5"/>
          </w:tcPr>
          <w:p w14:paraId="0BD1580C" w14:textId="77777777" w:rsidR="00047411" w:rsidRDefault="00000000">
            <w:pPr>
              <w:spacing w:after="0"/>
            </w:pPr>
            <w:r>
              <w:rPr>
                <w:sz w:val="16"/>
              </w:rPr>
              <w:t>Hiperparámetros efectivamente utilizados</w:t>
            </w:r>
          </w:p>
        </w:tc>
        <w:tc>
          <w:tcPr>
            <w:tcW w:w="1077" w:type="dxa"/>
            <w:shd w:val="clear" w:color="auto" w:fill="F2F2F5"/>
          </w:tcPr>
          <w:p w14:paraId="792B85EB" w14:textId="77777777" w:rsidR="00047411" w:rsidRDefault="00000000">
            <w:pPr>
              <w:spacing w:after="0"/>
            </w:pPr>
            <w:r>
              <w:rPr>
                <w:sz w:val="16"/>
              </w:rPr>
              <w:t>Apoyo</w:t>
            </w:r>
          </w:p>
        </w:tc>
        <w:tc>
          <w:tcPr>
            <w:tcW w:w="567" w:type="dxa"/>
            <w:shd w:val="clear" w:color="auto" w:fill="F2F2F5"/>
          </w:tcPr>
          <w:p w14:paraId="15BD861B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4252" w:type="dxa"/>
            <w:shd w:val="clear" w:color="auto" w:fill="F2F2F5"/>
          </w:tcPr>
          <w:p w14:paraId="22CE657E" w14:textId="77777777" w:rsidR="00047411" w:rsidRDefault="00000000">
            <w:pPr>
              <w:spacing w:after="0"/>
            </w:pPr>
            <w:r>
              <w:rPr>
                <w:sz w:val="16"/>
              </w:rPr>
              <w:t>Solo si el tribunal lo pide.</w:t>
            </w:r>
          </w:p>
        </w:tc>
      </w:tr>
      <w:tr w:rsidR="00047411" w14:paraId="2E00D549" w14:textId="77777777">
        <w:trPr>
          <w:jc w:val="center"/>
        </w:trPr>
        <w:tc>
          <w:tcPr>
            <w:tcW w:w="454" w:type="dxa"/>
          </w:tcPr>
          <w:p w14:paraId="3A733B90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3402" w:type="dxa"/>
          </w:tcPr>
          <w:p w14:paraId="71C0D0EF" w14:textId="77777777" w:rsidR="00047411" w:rsidRDefault="00000000">
            <w:pPr>
              <w:spacing w:after="0"/>
            </w:pPr>
            <w:r>
              <w:rPr>
                <w:sz w:val="16"/>
              </w:rPr>
              <w:t>Bonferroni: diez comparaciones pareadas (IC 99,5 %)</w:t>
            </w:r>
          </w:p>
        </w:tc>
        <w:tc>
          <w:tcPr>
            <w:tcW w:w="1077" w:type="dxa"/>
          </w:tcPr>
          <w:p w14:paraId="0D1C67EC" w14:textId="77777777" w:rsidR="00047411" w:rsidRDefault="00000000">
            <w:pPr>
              <w:spacing w:after="0"/>
            </w:pPr>
            <w:r>
              <w:rPr>
                <w:sz w:val="16"/>
              </w:rPr>
              <w:t>Apoyo</w:t>
            </w:r>
          </w:p>
        </w:tc>
        <w:tc>
          <w:tcPr>
            <w:tcW w:w="567" w:type="dxa"/>
          </w:tcPr>
          <w:p w14:paraId="15CB8F65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4252" w:type="dxa"/>
          </w:tcPr>
          <w:p w14:paraId="3D48D42F" w14:textId="77777777" w:rsidR="00047411" w:rsidRDefault="00000000">
            <w:pPr>
              <w:spacing w:after="0"/>
            </w:pPr>
            <w:r>
              <w:rPr>
                <w:sz w:val="16"/>
              </w:rPr>
              <w:t>Solo si el tribunal lo pide.</w:t>
            </w:r>
          </w:p>
        </w:tc>
      </w:tr>
      <w:tr w:rsidR="00047411" w14:paraId="6CC9A5D5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71030C8F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3402" w:type="dxa"/>
            <w:shd w:val="clear" w:color="auto" w:fill="F2F2F5"/>
          </w:tcPr>
          <w:p w14:paraId="1D05CF40" w14:textId="77777777" w:rsidR="00047411" w:rsidRDefault="00000000">
            <w:pPr>
              <w:spacing w:after="0"/>
            </w:pPr>
            <w:r>
              <w:rPr>
                <w:sz w:val="16"/>
              </w:rPr>
              <w:t>WAPE medio por decil de volumen y modelo</w:t>
            </w:r>
          </w:p>
        </w:tc>
        <w:tc>
          <w:tcPr>
            <w:tcW w:w="1077" w:type="dxa"/>
            <w:shd w:val="clear" w:color="auto" w:fill="F2F2F5"/>
          </w:tcPr>
          <w:p w14:paraId="02EC8320" w14:textId="77777777" w:rsidR="00047411" w:rsidRDefault="00000000">
            <w:pPr>
              <w:spacing w:after="0"/>
            </w:pPr>
            <w:r>
              <w:rPr>
                <w:sz w:val="16"/>
              </w:rPr>
              <w:t>Apoyo</w:t>
            </w:r>
          </w:p>
        </w:tc>
        <w:tc>
          <w:tcPr>
            <w:tcW w:w="567" w:type="dxa"/>
            <w:shd w:val="clear" w:color="auto" w:fill="F2F2F5"/>
          </w:tcPr>
          <w:p w14:paraId="466F10EE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4252" w:type="dxa"/>
            <w:shd w:val="clear" w:color="auto" w:fill="F2F2F5"/>
          </w:tcPr>
          <w:p w14:paraId="2DE95E0B" w14:textId="77777777" w:rsidR="00047411" w:rsidRDefault="00000000">
            <w:pPr>
              <w:spacing w:after="0"/>
            </w:pPr>
            <w:r>
              <w:rPr>
                <w:sz w:val="16"/>
              </w:rPr>
              <w:t>Solo si el tribunal lo pide.</w:t>
            </w:r>
          </w:p>
        </w:tc>
      </w:tr>
      <w:tr w:rsidR="00047411" w14:paraId="5FB1C8E1" w14:textId="77777777">
        <w:trPr>
          <w:jc w:val="center"/>
        </w:trPr>
        <w:tc>
          <w:tcPr>
            <w:tcW w:w="454" w:type="dxa"/>
          </w:tcPr>
          <w:p w14:paraId="0EEBD46B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3402" w:type="dxa"/>
          </w:tcPr>
          <w:p w14:paraId="0840C00D" w14:textId="77777777" w:rsidR="00047411" w:rsidRDefault="00000000">
            <w:pPr>
              <w:spacing w:after="0"/>
            </w:pPr>
            <w:r>
              <w:rPr>
                <w:sz w:val="16"/>
              </w:rPr>
              <w:t>CV temporal del sMAPE por modelo y serie</w:t>
            </w:r>
          </w:p>
        </w:tc>
        <w:tc>
          <w:tcPr>
            <w:tcW w:w="1077" w:type="dxa"/>
          </w:tcPr>
          <w:p w14:paraId="37146886" w14:textId="77777777" w:rsidR="00047411" w:rsidRDefault="00000000">
            <w:pPr>
              <w:spacing w:after="0"/>
            </w:pPr>
            <w:r>
              <w:rPr>
                <w:sz w:val="16"/>
              </w:rPr>
              <w:t>Apoyo</w:t>
            </w:r>
          </w:p>
        </w:tc>
        <w:tc>
          <w:tcPr>
            <w:tcW w:w="567" w:type="dxa"/>
          </w:tcPr>
          <w:p w14:paraId="24FAA031" w14:textId="77777777" w:rsidR="00047411" w:rsidRDefault="00000000"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4252" w:type="dxa"/>
          </w:tcPr>
          <w:p w14:paraId="3DE04487" w14:textId="77777777" w:rsidR="00047411" w:rsidRDefault="00000000">
            <w:pPr>
              <w:spacing w:after="0"/>
            </w:pPr>
            <w:r>
              <w:rPr>
                <w:sz w:val="16"/>
              </w:rPr>
              <w:t>Solo si el tribunal lo pide.</w:t>
            </w:r>
          </w:p>
        </w:tc>
      </w:tr>
    </w:tbl>
    <w:p w14:paraId="427457C6" w14:textId="77777777" w:rsidR="00047411" w:rsidRDefault="00047411">
      <w:pPr>
        <w:spacing w:after="40"/>
      </w:pPr>
    </w:p>
    <w:p w14:paraId="04582053" w14:textId="77777777" w:rsidR="00047411" w:rsidRDefault="00000000">
      <w:pPr>
        <w:keepNext/>
        <w:spacing w:before="240"/>
      </w:pPr>
      <w:r>
        <w:rPr>
          <w:b/>
          <w:color w:val="00566C"/>
          <w:sz w:val="26"/>
        </w:rPr>
        <w:t>5. Decisiones de diseño</w:t>
      </w:r>
    </w:p>
    <w:p w14:paraId="43DCB804" w14:textId="77777777" w:rsidR="00047411" w:rsidRDefault="00000000">
      <w:pPr>
        <w:pStyle w:val="Listaconvietas"/>
        <w:spacing w:after="40"/>
      </w:pPr>
      <w:r>
        <w:rPr>
          <w:b/>
        </w:rPr>
        <w:t>Plantilla respetada:</w:t>
      </w:r>
      <w:r>
        <w:t xml:space="preserve"> se partió del archivo oficial plantilla_defensa.ppt (convertido a .pptx con PowerPoint): layouts BLANK y DEFAULT SLIDE, paleta azul/teal/grises, Arial, logotipo UNIR, caja «pág. NN» y estilo de tablas (cabecera azul, filas grises alternas, bordes blancos).</w:t>
      </w:r>
    </w:p>
    <w:p w14:paraId="058C3D36" w14:textId="77777777" w:rsidR="00047411" w:rsidRDefault="00000000">
      <w:pPr>
        <w:pStyle w:val="Listaconvietas"/>
        <w:spacing w:after="40"/>
      </w:pPr>
      <w:r>
        <w:rPr>
          <w:b/>
        </w:rPr>
        <w:t>Títulos informativos:</w:t>
      </w:r>
      <w:r>
        <w:t xml:space="preserve"> la plantilla fija 44 pt para el título; se redujo a 34–36 pt (antetítulo de bloque a 26 pt) y se ensanchó la caja para que los títulos-conclusión quepan en una línea. Portada: título a 40 pt y tres autores. Índice: ampliado a cinco entradas a 36 pt.</w:t>
      </w:r>
    </w:p>
    <w:p w14:paraId="7014E63B" w14:textId="77777777" w:rsidR="00047411" w:rsidRDefault="00000000">
      <w:pPr>
        <w:pStyle w:val="Listaconvietas"/>
        <w:spacing w:after="40"/>
      </w:pPr>
      <w:r>
        <w:rPr>
          <w:b/>
        </w:rPr>
        <w:t>Todo editable:</w:t>
      </w:r>
      <w:r>
        <w:t xml:space="preserve"> ranking de sMAPE, estabilidad, deciles de volumen y complejidad son gráficos nativos con datos editables (clic derecho → Editar datos). El diagrama walk-forward y el forest plot de los IC son formas editables.</w:t>
      </w:r>
    </w:p>
    <w:p w14:paraId="6CD14650" w14:textId="77777777" w:rsidR="00047411" w:rsidRDefault="00000000">
      <w:pPr>
        <w:pStyle w:val="Listaconvietas"/>
        <w:spacing w:after="40"/>
      </w:pPr>
      <w:r>
        <w:rPr>
          <w:b/>
        </w:rPr>
        <w:t>Datos trazables:</w:t>
      </w:r>
      <w:r>
        <w:t xml:space="preserve"> la figura de error por fold se redibujó con los datos de results/tables/resultados_detalle.csv (173 series completas en los cuatro modelos locales); coincide con el texto del TFM (11,79 % y 11,96 % en el último fold del Seasonal Naïve).</w:t>
      </w:r>
    </w:p>
    <w:p w14:paraId="33836605" w14:textId="77777777" w:rsidR="00047411" w:rsidRDefault="00000000">
      <w:pPr>
        <w:pStyle w:val="Listaconvietas"/>
        <w:spacing w:after="40"/>
      </w:pPr>
      <w:r>
        <w:rPr>
          <w:b/>
        </w:rPr>
        <w:lastRenderedPageBreak/>
        <w:t>Fuentes y cautelas visibles:</w:t>
      </w:r>
      <w:r>
        <w:t xml:space="preserve"> cada diapositiva de contenido lleva su fuente («Fuente: TFM, Tabla n»). En 13 diapositivas una franja con barra azul recoge la cautela correspondiente (proxy de materialidad, M4, CV exploratorio, framework preliminar…), no solo las notas.</w:t>
      </w:r>
    </w:p>
    <w:p w14:paraId="52EDAA80" w14:textId="77777777" w:rsidR="00047411" w:rsidRDefault="00000000">
      <w:pPr>
        <w:pStyle w:val="Listaconvietas"/>
        <w:spacing w:after="40"/>
      </w:pPr>
      <w:r>
        <w:rPr>
          <w:b/>
        </w:rPr>
        <w:t>Prioridad a los resultados:</w:t>
      </w:r>
      <w:r>
        <w:t xml:space="preserve"> los resultados ocupan 8 de las 26 diapositivas (12–19) y el hallazgo principal se trabaja en tres niveles de detalle (resumen en la 13, ranking en la 14 y mapa de calor de las seis métricas en la 15).</w:t>
      </w:r>
    </w:p>
    <w:p w14:paraId="02B2E4CB" w14:textId="77777777" w:rsidR="00047411" w:rsidRDefault="00000000">
      <w:pPr>
        <w:keepNext/>
        <w:spacing w:before="240"/>
      </w:pPr>
      <w:r>
        <w:rPr>
          <w:b/>
          <w:color w:val="00566C"/>
          <w:sz w:val="26"/>
        </w:rPr>
        <w:t>6. Inconsistencias detectadas en el TFM y tratamiento</w:t>
      </w:r>
    </w:p>
    <w:p w14:paraId="23FFEFA1" w14:textId="77777777" w:rsidR="00047411" w:rsidRDefault="00000000">
      <w:r>
        <w:rPr>
          <w:sz w:val="19"/>
        </w:rPr>
        <w:t>Se señalaron antes de modificar nada y se tomó la opción más conservadora. El documento del TFM no se ha tocado.</w:t>
      </w:r>
    </w:p>
    <w:tbl>
      <w:tblPr>
        <w:tblW w:w="0" w:type="auto"/>
        <w:jc w:val="center"/>
        <w:tblBorders>
          <w:top w:val="single" w:sz="4" w:space="0" w:color="D9D9DE"/>
          <w:left w:val="single" w:sz="4" w:space="0" w:color="D9D9DE"/>
          <w:bottom w:val="single" w:sz="4" w:space="0" w:color="D9D9DE"/>
          <w:right w:val="single" w:sz="4" w:space="0" w:color="D9D9DE"/>
          <w:insideH w:val="single" w:sz="4" w:space="0" w:color="D9D9DE"/>
          <w:insideV w:val="single" w:sz="4" w:space="0" w:color="D9D9DE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4876"/>
        <w:gridCol w:w="4422"/>
      </w:tblGrid>
      <w:tr w:rsidR="00047411" w14:paraId="5B0E6A07" w14:textId="77777777">
        <w:trPr>
          <w:tblHeader/>
          <w:jc w:val="center"/>
        </w:trPr>
        <w:tc>
          <w:tcPr>
            <w:tcW w:w="454" w:type="dxa"/>
            <w:shd w:val="clear" w:color="auto" w:fill="219BC3"/>
          </w:tcPr>
          <w:p w14:paraId="2C98A997" w14:textId="77777777" w:rsidR="0004741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4876" w:type="dxa"/>
            <w:shd w:val="clear" w:color="auto" w:fill="219BC3"/>
          </w:tcPr>
          <w:p w14:paraId="77AED5E0" w14:textId="77777777" w:rsidR="0004741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Inconsistencia</w:t>
            </w:r>
          </w:p>
        </w:tc>
        <w:tc>
          <w:tcPr>
            <w:tcW w:w="4422" w:type="dxa"/>
            <w:shd w:val="clear" w:color="auto" w:fill="219BC3"/>
          </w:tcPr>
          <w:p w14:paraId="094FF248" w14:textId="77777777" w:rsidR="0004741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Tratamiento en la presentación</w:t>
            </w:r>
          </w:p>
        </w:tc>
      </w:tr>
      <w:tr w:rsidR="00047411" w14:paraId="0C2403C4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53067F62" w14:textId="77777777" w:rsidR="00047411" w:rsidRDefault="00000000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4876" w:type="dxa"/>
            <w:shd w:val="clear" w:color="auto" w:fill="F2F2F5"/>
          </w:tcPr>
          <w:p w14:paraId="3B51C192" w14:textId="77777777" w:rsidR="00047411" w:rsidRDefault="00000000">
            <w:pPr>
              <w:spacing w:after="0"/>
            </w:pPr>
            <w:r>
              <w:rPr>
                <w:sz w:val="17"/>
              </w:rPr>
              <w:t>Figura 5 (mapa de calor): sus valores no coinciden con las Tablas 17–19 (p. ej. ETS 9,897 de sMAPE y MAE 396 en la figura, frente a 10,005 y 476,20 en las tablas) y ordena Holt-Winters distinto en MAE/RMSE.</w:t>
            </w:r>
          </w:p>
        </w:tc>
        <w:tc>
          <w:tcPr>
            <w:tcW w:w="4422" w:type="dxa"/>
            <w:shd w:val="clear" w:color="auto" w:fill="F2F2F5"/>
          </w:tcPr>
          <w:p w14:paraId="4A7BD841" w14:textId="77777777" w:rsidR="00047411" w:rsidRDefault="00000000">
            <w:pPr>
              <w:spacing w:after="0"/>
            </w:pPr>
            <w:r>
              <w:rPr>
                <w:sz w:val="17"/>
              </w:rPr>
              <w:t>Diapositiva 15: mapa de calor reconstruido con las Tablas 17–19, que sí coinciden con los CSV del repositorio.</w:t>
            </w:r>
          </w:p>
        </w:tc>
      </w:tr>
      <w:tr w:rsidR="00047411" w14:paraId="0A795AD7" w14:textId="77777777">
        <w:trPr>
          <w:jc w:val="center"/>
        </w:trPr>
        <w:tc>
          <w:tcPr>
            <w:tcW w:w="454" w:type="dxa"/>
          </w:tcPr>
          <w:p w14:paraId="5CB13AFC" w14:textId="77777777" w:rsidR="00047411" w:rsidRDefault="00000000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4876" w:type="dxa"/>
          </w:tcPr>
          <w:p w14:paraId="1630CC03" w14:textId="77777777" w:rsidR="00047411" w:rsidRDefault="00000000">
            <w:pPr>
              <w:spacing w:after="0"/>
            </w:pPr>
            <w:r>
              <w:rPr>
                <w:sz w:val="17"/>
              </w:rPr>
              <w:t>Figura 6 (árbol de decisión): muestra un umbral «≥500 series / &gt;500 obs.» y rama por defecto ETS/Holt-Winters; la Tabla 28 rechaza umbrales numéricos para R3 y la Tabla 29 indica que el 500 no se derivó.</w:t>
            </w:r>
          </w:p>
        </w:tc>
        <w:tc>
          <w:tcPr>
            <w:tcW w:w="4422" w:type="dxa"/>
          </w:tcPr>
          <w:p w14:paraId="690F493B" w14:textId="77777777" w:rsidR="00047411" w:rsidRDefault="00000000">
            <w:pPr>
              <w:spacing w:after="0"/>
            </w:pPr>
            <w:r>
              <w:rPr>
                <w:sz w:val="17"/>
              </w:rPr>
              <w:t>Diapositiva 22: se sigue la Tabla 28 (R3 sin umbral numérico) y el 120 de R1 se presenta como convención práctica no derivada; confianza baja / baja / baja-media.</w:t>
            </w:r>
          </w:p>
        </w:tc>
      </w:tr>
      <w:tr w:rsidR="00047411" w14:paraId="107D33CA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6C9EADFD" w14:textId="77777777" w:rsidR="00047411" w:rsidRDefault="00000000"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4876" w:type="dxa"/>
            <w:shd w:val="clear" w:color="auto" w:fill="F2F2F5"/>
          </w:tcPr>
          <w:p w14:paraId="1E85B27B" w14:textId="77777777" w:rsidR="00047411" w:rsidRDefault="00000000">
            <w:pPr>
              <w:spacing w:after="0"/>
            </w:pPr>
            <w:r>
              <w:rPr>
                <w:sz w:val="17"/>
              </w:rPr>
              <w:t>El Resumen cita una «mejora de 3,7 pp» junto al IC [−4,52; −3,26], pero ese IC es de la diferencia pareada por serie (−3,852 pp); los −3,662 pp salen de las medias globales.</w:t>
            </w:r>
          </w:p>
        </w:tc>
        <w:tc>
          <w:tcPr>
            <w:tcW w:w="4422" w:type="dxa"/>
            <w:shd w:val="clear" w:color="auto" w:fill="F2F2F5"/>
          </w:tcPr>
          <w:p w14:paraId="0A1CDDFF" w14:textId="77777777" w:rsidR="00047411" w:rsidRDefault="00000000">
            <w:pPr>
              <w:spacing w:after="0"/>
            </w:pPr>
            <w:r>
              <w:rPr>
                <w:sz w:val="17"/>
              </w:rPr>
              <w:t>Se muestran 10,0 % frente a 13,7 % y «−3,85 pp pareada, IC95 [−4,52; −3,26]»; la otra cifra se explica en las notas.</w:t>
            </w:r>
          </w:p>
        </w:tc>
      </w:tr>
      <w:tr w:rsidR="00047411" w14:paraId="5BE346B1" w14:textId="77777777">
        <w:trPr>
          <w:jc w:val="center"/>
        </w:trPr>
        <w:tc>
          <w:tcPr>
            <w:tcW w:w="454" w:type="dxa"/>
          </w:tcPr>
          <w:p w14:paraId="2E38900B" w14:textId="77777777" w:rsidR="00047411" w:rsidRDefault="00000000"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4876" w:type="dxa"/>
          </w:tcPr>
          <w:p w14:paraId="4AFAD0A9" w14:textId="77777777" w:rsidR="00047411" w:rsidRDefault="00000000">
            <w:pPr>
              <w:spacing w:after="0"/>
            </w:pPr>
            <w:r>
              <w:rPr>
                <w:sz w:val="17"/>
              </w:rPr>
              <w:t>La Tabla 26 marca el criterio de significación como «Cumplido» solo porque el IC excluye el cero; la Tabla 16 y el §4.6 exigen además consistencia en más del 60 % de los folds (MLP 57,8 % y N-BEATS 59,0 % no la alcanzan).</w:t>
            </w:r>
          </w:p>
        </w:tc>
        <w:tc>
          <w:tcPr>
            <w:tcW w:w="4422" w:type="dxa"/>
          </w:tcPr>
          <w:p w14:paraId="1323B4FF" w14:textId="77777777" w:rsidR="00047411" w:rsidRDefault="00000000">
            <w:pPr>
              <w:spacing w:after="0"/>
            </w:pPr>
            <w:r>
              <w:rPr>
                <w:sz w:val="17"/>
              </w:rPr>
              <w:t>Diapositiva 19: se muestran ambos subcriterios; ETS, SARIMA, Holt-Winters y LightGBM superan el 60 %.</w:t>
            </w:r>
          </w:p>
        </w:tc>
      </w:tr>
      <w:tr w:rsidR="00047411" w14:paraId="134175EC" w14:textId="77777777">
        <w:trPr>
          <w:jc w:val="center"/>
        </w:trPr>
        <w:tc>
          <w:tcPr>
            <w:tcW w:w="454" w:type="dxa"/>
            <w:shd w:val="clear" w:color="auto" w:fill="F2F2F5"/>
          </w:tcPr>
          <w:p w14:paraId="391BED03" w14:textId="77777777" w:rsidR="00047411" w:rsidRDefault="00000000"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4876" w:type="dxa"/>
            <w:shd w:val="clear" w:color="auto" w:fill="F2F2F5"/>
          </w:tcPr>
          <w:p w14:paraId="7F605777" w14:textId="77777777" w:rsidR="00047411" w:rsidRDefault="00000000">
            <w:pPr>
              <w:spacing w:after="0"/>
            </w:pPr>
            <w:r>
              <w:rPr>
                <w:sz w:val="17"/>
              </w:rPr>
              <w:t>§6.3 afirma que el ranking en D8–D10 «es consistente con el ranking global», pero hay cambios en el tramo medio (Holt-Winters/LightGBM, MLP/N-BEATS).</w:t>
            </w:r>
          </w:p>
        </w:tc>
        <w:tc>
          <w:tcPr>
            <w:tcW w:w="4422" w:type="dxa"/>
            <w:shd w:val="clear" w:color="auto" w:fill="F2F2F5"/>
          </w:tcPr>
          <w:p w14:paraId="2E086618" w14:textId="77777777" w:rsidR="00047411" w:rsidRDefault="00000000">
            <w:pPr>
              <w:spacing w:after="0"/>
            </w:pPr>
            <w:r>
              <w:rPr>
                <w:sz w:val="17"/>
              </w:rPr>
              <w:t>Diapositiva 18: solo se afirma que ETS mantiene su ventaja en D8–D10 (WAPE 7,7 % frente a 10,0 % del Seasonal Naïve, −22,9 %); el detalle por modelo queda en la diapositiva de apoyo 29.</w:t>
            </w:r>
          </w:p>
        </w:tc>
      </w:tr>
    </w:tbl>
    <w:p w14:paraId="515591FC" w14:textId="77777777" w:rsidR="00047411" w:rsidRDefault="00047411">
      <w:pPr>
        <w:spacing w:after="40"/>
      </w:pPr>
    </w:p>
    <w:p w14:paraId="5ACE53AD" w14:textId="77777777" w:rsidR="00047411" w:rsidRDefault="00000000">
      <w:pPr>
        <w:keepNext/>
        <w:spacing w:before="240"/>
      </w:pPr>
      <w:r>
        <w:rPr>
          <w:b/>
          <w:color w:val="00566C"/>
          <w:sz w:val="26"/>
        </w:rPr>
        <w:t>7. Limitaciones y puntos a revisar</w:t>
      </w:r>
    </w:p>
    <w:p w14:paraId="386CF99A" w14:textId="77777777" w:rsidR="00047411" w:rsidRDefault="00000000">
      <w:pPr>
        <w:pStyle w:val="Listaconvietas"/>
        <w:spacing w:after="40"/>
      </w:pPr>
      <w:r>
        <w:rPr>
          <w:b/>
        </w:rPr>
        <w:t>Pregunta de investigación:</w:t>
      </w:r>
      <w:r>
        <w:t xml:space="preserve"> el TFM no formula una pregunta de investigación explícita; la presentación usa el «núcleo problemático» del §1.2 (qué grado de complejidad es adecuado para cada contexto).</w:t>
      </w:r>
    </w:p>
    <w:p w14:paraId="47B0560C" w14:textId="77777777" w:rsidR="00047411" w:rsidRDefault="00000000">
      <w:pPr>
        <w:pStyle w:val="Listaconvietas"/>
        <w:spacing w:after="40"/>
      </w:pPr>
      <w:r>
        <w:rPr>
          <w:b/>
        </w:rPr>
        <w:t>Tiempo:</w:t>
      </w:r>
      <w:r>
        <w:t xml:space="preserve"> los 29,0 min de contenido dejan poco margen; si hace falta recortar, las diapositivas 10 y 11 son las más comprimibles. Conviene ensayar la cronometría completa, con los relevos.</w:t>
      </w:r>
    </w:p>
    <w:p w14:paraId="52E1E0AD" w14:textId="77777777" w:rsidR="00047411" w:rsidRDefault="00000000">
      <w:pPr>
        <w:pStyle w:val="Listaconvietas"/>
        <w:spacing w:after="40"/>
      </w:pPr>
      <w:r>
        <w:rPr>
          <w:b/>
        </w:rPr>
        <w:t>Estructura de la plantilla:</w:t>
      </w:r>
      <w:r>
        <w:t xml:space="preserve"> las diapositivas 1, 2 y 26 usan el layout BLANK de la plantilla (como en la plantilla original), por lo que no tienen marcador de título; el resto usa DEFAULT SLIDE.</w:t>
      </w:r>
    </w:p>
    <w:p w14:paraId="3E753047" w14:textId="77777777" w:rsidR="00047411" w:rsidRDefault="00000000">
      <w:pPr>
        <w:pStyle w:val="Listaconvietas"/>
        <w:spacing w:after="40"/>
      </w:pPr>
      <w:r>
        <w:rPr>
          <w:b/>
        </w:rPr>
        <w:t>Herramientas:</w:t>
      </w:r>
      <w:r>
        <w:t xml:space="preserve"> el archivo se generó con python-pptx sobre la plantilla convertida; las vistas previas se revisaron exportando cada diapositiva con PowerPoint. Fuentes: Arial y Franklin Gothic Medium (solo la caja de página), ambas incluidas con Windows/Office.</w:t>
      </w:r>
    </w:p>
    <w:p w14:paraId="30C9EF0F" w14:textId="77777777" w:rsidR="00047411" w:rsidRDefault="00000000">
      <w:pPr>
        <w:pStyle w:val="Listaconvietas"/>
        <w:spacing w:after="40"/>
      </w:pPr>
      <w:r>
        <w:rPr>
          <w:b/>
        </w:rPr>
        <w:t>Datos no inventados:</w:t>
      </w:r>
      <w:r>
        <w:t xml:space="preserve"> la tabla de costes (diap. 21) marca «No registrado» donde el TFM no reporta el dato; no se estimó nada.</w:t>
      </w:r>
    </w:p>
    <w:sectPr w:rsidR="00047411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127389">
    <w:abstractNumId w:val="8"/>
  </w:num>
  <w:num w:numId="2" w16cid:durableId="991059107">
    <w:abstractNumId w:val="6"/>
  </w:num>
  <w:num w:numId="3" w16cid:durableId="1060711527">
    <w:abstractNumId w:val="5"/>
  </w:num>
  <w:num w:numId="4" w16cid:durableId="1322810461">
    <w:abstractNumId w:val="4"/>
  </w:num>
  <w:num w:numId="5" w16cid:durableId="1515144555">
    <w:abstractNumId w:val="7"/>
  </w:num>
  <w:num w:numId="6" w16cid:durableId="1172599041">
    <w:abstractNumId w:val="3"/>
  </w:num>
  <w:num w:numId="7" w16cid:durableId="1703288306">
    <w:abstractNumId w:val="2"/>
  </w:num>
  <w:num w:numId="8" w16cid:durableId="611010986">
    <w:abstractNumId w:val="1"/>
  </w:num>
  <w:num w:numId="9" w16cid:durableId="1491628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411"/>
    <w:rsid w:val="0006063C"/>
    <w:rsid w:val="000F6353"/>
    <w:rsid w:val="0015074B"/>
    <w:rsid w:val="0029639D"/>
    <w:rsid w:val="00326F90"/>
    <w:rsid w:val="007B4D81"/>
    <w:rsid w:val="0088175F"/>
    <w:rsid w:val="00AA1D8D"/>
    <w:rsid w:val="00B47730"/>
    <w:rsid w:val="00C803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532000"/>
  <w14:defaultImageDpi w14:val="300"/>
  <w15:docId w15:val="{6C153CAA-1E13-4BC7-B048-E7361442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1647</Words>
  <Characters>9062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Camilo Rico</cp:lastModifiedBy>
  <cp:revision>2</cp:revision>
  <dcterms:created xsi:type="dcterms:W3CDTF">2013-12-23T23:15:00Z</dcterms:created>
  <dcterms:modified xsi:type="dcterms:W3CDTF">2026-10-06T20:23:00Z</dcterms:modified>
  <cp:category/>
</cp:coreProperties>
</file>