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E474C3E" w:rsidP="10338F85" w:rsidRDefault="7E474C3E" w14:paraId="26909257" w14:textId="786A7622">
      <w:pPr>
        <w:pStyle w:val="Heading1"/>
        <w:bidi w:val="0"/>
        <w:spacing w:before="320" w:beforeAutospacing="off" w:after="160" w:afterAutospacing="off"/>
        <w:jc w:val="left"/>
        <w:rPr>
          <w:rFonts w:ascii="Calibri" w:hAnsi="Calibri" w:eastAsia="Calibri" w:cs="Calibri" w:asciiTheme="minorAscii" w:hAnsiTheme="minorAscii" w:eastAsiaTheme="minorAscii" w:cstheme="minorAscii"/>
          <w:color w:val="1F4E79"/>
          <w:sz w:val="24"/>
          <w:szCs w:val="24"/>
        </w:rPr>
      </w:pPr>
      <w:r w:rsidRPr="10338F85" w:rsidR="7E474C3E">
        <w:rPr>
          <w:rFonts w:ascii="Calibri" w:hAnsi="Calibri" w:eastAsia="Calibri" w:cs="Calibri" w:asciiTheme="minorAscii" w:hAnsiTheme="minorAscii" w:eastAsiaTheme="minorAscii" w:cstheme="minorAscii"/>
          <w:color w:val="1F4E79"/>
          <w:sz w:val="24"/>
          <w:szCs w:val="24"/>
        </w:rPr>
        <w:t>4. Planteamiento de la comparativa</w:t>
      </w:r>
    </w:p>
    <w:p w:rsidR="7E474C3E" w:rsidP="10338F85" w:rsidRDefault="7E474C3E" w14:paraId="4D42E46D" w14:textId="6EFEAE61">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El presente capítulo describe el trabajo previo realizado para definir el diseño experimental de la comparativa, incluyendo la selección y caracterización del conjunto de datos, la identificación de las arquitecturas de modelos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anterior y el punto de partida necesario para interpretar correctamente los resultados que se presentan en el capítulo de desarrollo.</w:t>
      </w:r>
    </w:p>
    <w:p w:rsidR="7E474C3E" w:rsidP="10338F85" w:rsidRDefault="7E474C3E" w14:paraId="1295B27B" w14:textId="33945AFC">
      <w:pPr>
        <w:pStyle w:val="Heading2"/>
        <w:bidi w:val="0"/>
        <w:spacing w:before="280" w:beforeAutospacing="off" w:after="120" w:afterAutospacing="off"/>
        <w:jc w:val="left"/>
        <w:rPr>
          <w:rFonts w:ascii="Calibri" w:hAnsi="Calibri" w:eastAsia="Calibri" w:cs="Calibri" w:asciiTheme="minorAscii" w:hAnsiTheme="minorAscii" w:eastAsiaTheme="minorAscii" w:cstheme="minorAscii"/>
          <w:color w:val="2E74B5"/>
          <w:sz w:val="24"/>
          <w:szCs w:val="24"/>
        </w:rPr>
      </w:pPr>
      <w:r w:rsidRPr="10338F85" w:rsidR="7E474C3E">
        <w:rPr>
          <w:rFonts w:ascii="Calibri" w:hAnsi="Calibri" w:eastAsia="Calibri" w:cs="Calibri" w:asciiTheme="minorAscii" w:hAnsiTheme="minorAscii" w:eastAsiaTheme="minorAscii" w:cstheme="minorAscii"/>
          <w:color w:val="2E74B5"/>
          <w:sz w:val="24"/>
          <w:szCs w:val="24"/>
        </w:rPr>
        <w:t>4.1. Identificación del problema y trabajo previo</w:t>
      </w:r>
    </w:p>
    <w:p w:rsidR="7E474C3E" w:rsidP="10338F85" w:rsidRDefault="7E474C3E" w14:paraId="3BBAAF30" w14:textId="5288EE5C">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El problema central que motiva esta comparativa —documentado en los capítulos anteriores— es la ausencia de marcos de evaluación cuantitativos que permitan seleccionar modelos de pronóstico en entornos de FP&amp;A con base en criterios objetivos y reproducibles. Para abordar este problema de forma rigurosa, el trabajo previo consistió en tres actividades: una revisión sistemática de la literatura para identificar las familias de modelos con mayor representación en benchmarks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rsidR="7E474C3E" w:rsidP="10338F85" w:rsidRDefault="7E474C3E" w14:paraId="3EAF2905" w14:textId="1E850AC2">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La revisión de la literatura —desarrollada en detalle en el capítulo 2— permitió identificar cuatro familias de modelos que representan niveles de complejidad algorítmica bien diferenciados: los métodos estadísticos clásicos, los algoritmos de machine learning basados en gradient boosting, el deep learning tabular y las arquitecturas diseñadas específicamente para series temporales. Esta taxonomía de complejidad creciente es la que estructura el diseño del experimento: no se busca evaluar el mayor número posible de modelos, sino representar cada nivel con el algoritmo más representativo de su familia, de modo que los resultados permitan extraer conclusiones sobre la relación entre complejidad y valor en FP&amp;A.</w:t>
      </w:r>
    </w:p>
    <w:p w:rsidR="7E474C3E" w:rsidP="10338F85" w:rsidRDefault="7E474C3E" w14:paraId="74283375" w14:textId="1DDCF639">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El análisis exploratorio del conjunto de datos reveló una heterogeneidad considerable en la longitud de las series disponibles, con un rango que va desde los 60 hasta los 1.502 meses y una mediana de 175 meses. Esta variabilidad tiene implicaciones directas para el diseño del protocolo de backtesting: series demasiado cortas no proporcionan suficientes iteraciones walk-forward para analizar la estabilidad temporal del desempeño, mientras que series extremadamente largas pueden introducir cambios estructurales que distorsionen las comparaciones. El umbral de 72 meses como longitud mínima de inclusión responde precisamente a esta consideración, garantizando que cada serie aporte al menos cuatro iteraciones de evaluación independientes bajo el protocolo walk-forward adoptado.</w:t>
      </w:r>
    </w:p>
    <w:p w:rsidR="7E474C3E" w:rsidP="10338F85" w:rsidRDefault="7E474C3E" w14:paraId="7227755E" w14:textId="33439621">
      <w:pPr>
        <w:pStyle w:val="Heading2"/>
        <w:bidi w:val="0"/>
        <w:spacing w:before="280" w:beforeAutospacing="off" w:after="120" w:afterAutospacing="off"/>
        <w:jc w:val="left"/>
        <w:rPr>
          <w:rFonts w:ascii="Calibri" w:hAnsi="Calibri" w:eastAsia="Calibri" w:cs="Calibri" w:asciiTheme="minorAscii" w:hAnsiTheme="minorAscii" w:eastAsiaTheme="minorAscii" w:cstheme="minorAscii"/>
          <w:color w:val="2E74B5"/>
          <w:sz w:val="24"/>
          <w:szCs w:val="24"/>
        </w:rPr>
      </w:pPr>
      <w:r w:rsidRPr="10338F85" w:rsidR="7E474C3E">
        <w:rPr>
          <w:rFonts w:ascii="Calibri" w:hAnsi="Calibri" w:eastAsia="Calibri" w:cs="Calibri" w:asciiTheme="minorAscii" w:hAnsiTheme="minorAscii" w:eastAsiaTheme="minorAscii" w:cstheme="minorAscii"/>
          <w:color w:val="2E74B5"/>
          <w:sz w:val="24"/>
          <w:szCs w:val="24"/>
        </w:rPr>
        <w:t>4.2. Descripción del conjunto de datos</w:t>
      </w:r>
    </w:p>
    <w:p w:rsidR="7E474C3E" w:rsidP="10338F85" w:rsidRDefault="7E474C3E" w14:paraId="17DCFE80" w14:textId="676B1312">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La selección del conjunto de datos M4 Financial Monthly responde a tres criterios. En primer lugar, su origen en una competición de pronóstico de referencia internacional garantiza que las series han sido sometidas a un proceso de curation y que los resultados son comparables con los de otros estudios que utilizan el mismo benchmark (Makridakis et al., 2022). En segundo lugar, la categoría financiera mensual es la más representativa del contexto de FP&amp;A, tanto en frecuencia temporal como en el tipo de variables incluidas. En tercer lugar, el volumen de series disponibles —más de 8.000 tras el filtrado— permite obtener estimaciones de desempeño estadísticamente robustas y analizar el comportamiento de los modelos en distintos segmentos de volumen y patrón temporal. La Tabla 1 recoge las características principales del conjunto de datos utilizado.</w:t>
      </w:r>
    </w:p>
    <w:p w:rsidR="7E474C3E" w:rsidP="10338F85" w:rsidRDefault="7E474C3E" w14:paraId="6FB71401" w14:textId="69CC35A2">
      <w:pPr>
        <w:bidi w:val="0"/>
        <w:spacing w:before="160" w:beforeAutospacing="off" w:after="60" w:afterAutospacing="off"/>
        <w:jc w:val="left"/>
        <w:rPr>
          <w:rFonts w:ascii="Calibri" w:hAnsi="Calibri" w:eastAsia="Calibri" w:cs="Calibri" w:asciiTheme="minorAscii" w:hAnsiTheme="minorAscii" w:eastAsiaTheme="minorAscii" w:cstheme="minorAscii"/>
          <w:b w:val="1"/>
          <w:bCs w:val="1"/>
          <w:sz w:val="24"/>
          <w:szCs w:val="24"/>
        </w:rPr>
      </w:pPr>
      <w:r w:rsidRPr="10338F85" w:rsidR="7E474C3E">
        <w:rPr>
          <w:rFonts w:ascii="Calibri" w:hAnsi="Calibri" w:eastAsia="Calibri" w:cs="Calibri" w:asciiTheme="minorAscii" w:hAnsiTheme="minorAscii" w:eastAsiaTheme="minorAscii" w:cstheme="minorAscii"/>
          <w:b w:val="1"/>
          <w:bCs w:val="1"/>
          <w:sz w:val="24"/>
          <w:szCs w:val="24"/>
        </w:rPr>
        <w:t>Tabla 1. Características del conjunto de datos utilizado en la comparativa.</w:t>
      </w:r>
    </w:p>
    <w:tbl>
      <w:tblPr>
        <w:tblStyle w:val="TableNormal"/>
        <w:bidiVisual w:val="0"/>
        <w:tblW w:w="0" w:type="auto"/>
        <w:tblLook w:val="06A0" w:firstRow="1" w:lastRow="0" w:firstColumn="1" w:lastColumn="0" w:noHBand="1" w:noVBand="1"/>
      </w:tblPr>
      <w:tblGrid>
        <w:gridCol w:w="2805"/>
        <w:gridCol w:w="6555"/>
      </w:tblGrid>
      <w:tr w:rsidR="10338F85" w:rsidTr="10338F85" w14:paraId="375B2168">
        <w:trPr>
          <w:trHeight w:val="300"/>
        </w:trPr>
        <w:tc>
          <w:tcPr>
            <w:tcW w:w="280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316A1643" w14:textId="0963598B">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Dimensión</w:t>
            </w:r>
          </w:p>
        </w:tc>
        <w:tc>
          <w:tcPr>
            <w:tcW w:w="655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2522D3BA" w14:textId="685FBF21">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Descripción</w:t>
            </w:r>
          </w:p>
        </w:tc>
      </w:tr>
      <w:tr w:rsidR="10338F85" w:rsidTr="10338F85" w14:paraId="54E9E313">
        <w:trPr>
          <w:trHeight w:val="300"/>
        </w:trPr>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465E5E4" w14:textId="16A180E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Fuente</w:t>
            </w:r>
          </w:p>
        </w:tc>
        <w:tc>
          <w:tcPr>
            <w:tcW w:w="65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1C4FDE5" w14:textId="33FC3F98">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M4 Competition Dataset, categoría Financial Monthly (Makridakis et al., 2022). Conjunto de acceso público diseñado específicamente para el benchmarking de modelos de pronóstico.</w:t>
            </w:r>
          </w:p>
        </w:tc>
      </w:tr>
      <w:tr w:rsidR="10338F85" w:rsidTr="10338F85" w14:paraId="0991DCD8">
        <w:trPr>
          <w:trHeight w:val="300"/>
        </w:trPr>
        <w:tc>
          <w:tcPr>
            <w:tcW w:w="28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26B47EBB" w14:textId="6E5C522D">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Series originales disponibles</w:t>
            </w:r>
          </w:p>
        </w:tc>
        <w:tc>
          <w:tcPr>
            <w:tcW w:w="65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776C2AAE" w14:textId="6453CF5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10.987 series temporales financieras mensuales.</w:t>
            </w:r>
          </w:p>
        </w:tc>
      </w:tr>
      <w:tr w:rsidR="10338F85" w:rsidTr="10338F85" w14:paraId="20810229">
        <w:trPr>
          <w:trHeight w:val="300"/>
        </w:trPr>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2C2D1D1F" w14:textId="7752ABF6">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Criterio de filtrado aplicado</w:t>
            </w:r>
          </w:p>
        </w:tc>
        <w:tc>
          <w:tcPr>
            <w:tcW w:w="65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2CDE485B" w14:textId="032C3AB6">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Se retienen únicamente las series con longitud real ≥ 72 meses (6 años), umbral mínimo para garantizar suficiente historial de entrenamiento. Series con menor longitud fueron descartadas.</w:t>
            </w:r>
          </w:p>
        </w:tc>
      </w:tr>
      <w:tr w:rsidR="10338F85" w:rsidTr="10338F85" w14:paraId="433BAAA9">
        <w:trPr>
          <w:trHeight w:val="300"/>
        </w:trPr>
        <w:tc>
          <w:tcPr>
            <w:tcW w:w="28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4C29F071" w14:textId="12758CF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Series retenidas tras filtrado</w:t>
            </w:r>
          </w:p>
        </w:tc>
        <w:tc>
          <w:tcPr>
            <w:tcW w:w="65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7E2C6BFC" w14:textId="2F3C70F8">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8.493 series (77,3 % del total original).</w:t>
            </w:r>
          </w:p>
        </w:tc>
      </w:tr>
      <w:tr w:rsidR="10338F85" w:rsidTr="10338F85" w14:paraId="2B55AD11">
        <w:trPr>
          <w:trHeight w:val="300"/>
        </w:trPr>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54C47CC4" w14:textId="76288969">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Frecuencia temporal</w:t>
            </w:r>
          </w:p>
        </w:tc>
        <w:tc>
          <w:tcPr>
            <w:tcW w:w="65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4B70C9E3" w14:textId="419C05A6">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Mensual. Cada observación corresponde a un período de un mes.</w:t>
            </w:r>
          </w:p>
        </w:tc>
      </w:tr>
      <w:tr w:rsidR="10338F85" w:rsidTr="10338F85" w14:paraId="12CE6E56">
        <w:trPr>
          <w:trHeight w:val="300"/>
        </w:trPr>
        <w:tc>
          <w:tcPr>
            <w:tcW w:w="28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2B579FF3" w14:textId="22BBF4D9">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Longitud de las series (tras filtrado)</w:t>
            </w:r>
          </w:p>
        </w:tc>
        <w:tc>
          <w:tcPr>
            <w:tcW w:w="65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4C77354" w14:textId="282C638F">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Media: 184 meses · Mediana: 175 meses · P25: 74 meses · P75: 237 meses · Máximo: 1.502 meses.</w:t>
            </w:r>
          </w:p>
        </w:tc>
      </w:tr>
      <w:tr w:rsidR="10338F85" w:rsidTr="10338F85" w14:paraId="16B6EB5D">
        <w:trPr>
          <w:trHeight w:val="300"/>
        </w:trPr>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4DA01E4" w14:textId="2AC1910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Horizonte de pronóstico</w:t>
            </w:r>
          </w:p>
        </w:tc>
        <w:tc>
          <w:tcPr>
            <w:tcW w:w="65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5843F87C" w14:textId="78BDE3CE">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18 meses. Corresponde al horizonte estándar de la competición M4 para la categoría mensual y representa aproximadamente un ciclo y medio de planificación financiera anual.</w:t>
            </w:r>
          </w:p>
        </w:tc>
      </w:tr>
      <w:tr w:rsidR="10338F85" w:rsidTr="10338F85" w14:paraId="617480C1">
        <w:trPr>
          <w:trHeight w:val="300"/>
        </w:trPr>
        <w:tc>
          <w:tcPr>
            <w:tcW w:w="28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7AAB9C72" w14:textId="167106D9">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Naturaleza de las series</w:t>
            </w:r>
          </w:p>
        </w:tc>
        <w:tc>
          <w:tcPr>
            <w:tcW w:w="65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6DCF20E" w14:textId="35780174">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Series de variables económicas y financieras diversas (ingresos, indicadores macroeconómicos, métricas corporativas). Las series no están etiquetadas por tipo de cuenta contable, lo que implica heterogeneidad en los patrones de estacionalidad y tendencia.</w:t>
            </w:r>
          </w:p>
        </w:tc>
      </w:tr>
    </w:tbl>
    <w:p w:rsidR="7E474C3E" w:rsidP="10338F85" w:rsidRDefault="7E474C3E" w14:paraId="76C889D0" w14:textId="3B536C92">
      <w:pPr>
        <w:bidi w:val="0"/>
        <w:spacing w:before="60" w:beforeAutospacing="off" w:after="200" w:afterAutospacing="off"/>
        <w:jc w:val="left"/>
        <w:rPr>
          <w:rFonts w:ascii="Calibri" w:hAnsi="Calibri" w:eastAsia="Calibri" w:cs="Calibri" w:asciiTheme="minorAscii" w:hAnsiTheme="minorAscii" w:eastAsiaTheme="minorAscii" w:cstheme="minorAscii"/>
          <w:i w:val="1"/>
          <w:iCs w:val="1"/>
          <w:color w:val="555555"/>
          <w:sz w:val="24"/>
          <w:szCs w:val="24"/>
        </w:rPr>
      </w:pPr>
      <w:r w:rsidRPr="10338F85" w:rsidR="7E474C3E">
        <w:rPr>
          <w:rFonts w:ascii="Calibri" w:hAnsi="Calibri" w:eastAsia="Calibri" w:cs="Calibri" w:asciiTheme="minorAscii" w:hAnsiTheme="minorAscii" w:eastAsiaTheme="minorAscii" w:cstheme="minorAscii"/>
          <w:i w:val="1"/>
          <w:iCs w:val="1"/>
          <w:color w:val="555555"/>
          <w:sz w:val="24"/>
          <w:szCs w:val="24"/>
        </w:rPr>
        <w:t>Fuente: elaboración propia a partir del M4 Competition Dataset (Makridakis et al., 2022).</w:t>
      </w:r>
    </w:p>
    <w:p w:rsidR="7E474C3E" w:rsidP="10338F85" w:rsidRDefault="7E474C3E" w14:paraId="2D8A42F4" w14:textId="31932F4A">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Es importante notar una limitación del dataset que condiciona parcialmente el alcance de la comparativa: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rsidR="7E474C3E" w:rsidP="10338F85" w:rsidRDefault="7E474C3E" w14:paraId="2BF1E535" w14:textId="63746D65">
      <w:pPr>
        <w:pStyle w:val="Heading2"/>
        <w:bidi w:val="0"/>
        <w:spacing w:before="280" w:beforeAutospacing="off" w:after="120" w:afterAutospacing="off"/>
        <w:jc w:val="left"/>
        <w:rPr>
          <w:rFonts w:ascii="Calibri" w:hAnsi="Calibri" w:eastAsia="Calibri" w:cs="Calibri" w:asciiTheme="minorAscii" w:hAnsiTheme="minorAscii" w:eastAsiaTheme="minorAscii" w:cstheme="minorAscii"/>
          <w:color w:val="2E74B5"/>
          <w:sz w:val="24"/>
          <w:szCs w:val="24"/>
        </w:rPr>
      </w:pPr>
      <w:r w:rsidRPr="10338F85" w:rsidR="7E474C3E">
        <w:rPr>
          <w:rFonts w:ascii="Calibri" w:hAnsi="Calibri" w:eastAsia="Calibri" w:cs="Calibri" w:asciiTheme="minorAscii" w:hAnsiTheme="minorAscii" w:eastAsiaTheme="minorAscii" w:cstheme="minorAscii"/>
          <w:color w:val="2E74B5"/>
          <w:sz w:val="24"/>
          <w:szCs w:val="24"/>
        </w:rPr>
        <w:t>4.3. Modelos incluidos en la comparativa</w:t>
      </w:r>
    </w:p>
    <w:p w:rsidR="7E474C3E" w:rsidP="10338F85" w:rsidRDefault="7E474C3E" w14:paraId="64F210DD" w14:textId="3CA15A67">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2 describe los cinco modelos incluidos, su framework de implementación y la justificación de su incorporación.</w:t>
      </w:r>
    </w:p>
    <w:p w:rsidR="7E474C3E" w:rsidP="10338F85" w:rsidRDefault="7E474C3E" w14:paraId="4763B279" w14:textId="22B07440">
      <w:pPr>
        <w:bidi w:val="0"/>
        <w:spacing w:before="160" w:beforeAutospacing="off" w:after="60" w:afterAutospacing="off"/>
        <w:jc w:val="left"/>
        <w:rPr>
          <w:rFonts w:ascii="Calibri" w:hAnsi="Calibri" w:eastAsia="Calibri" w:cs="Calibri" w:asciiTheme="minorAscii" w:hAnsiTheme="minorAscii" w:eastAsiaTheme="minorAscii" w:cstheme="minorAscii"/>
          <w:b w:val="1"/>
          <w:bCs w:val="1"/>
          <w:sz w:val="24"/>
          <w:szCs w:val="24"/>
        </w:rPr>
      </w:pPr>
      <w:r w:rsidRPr="10338F85" w:rsidR="7E474C3E">
        <w:rPr>
          <w:rFonts w:ascii="Calibri" w:hAnsi="Calibri" w:eastAsia="Calibri" w:cs="Calibri" w:asciiTheme="minorAscii" w:hAnsiTheme="minorAscii" w:eastAsiaTheme="minorAscii" w:cstheme="minorAscii"/>
          <w:b w:val="1"/>
          <w:bCs w:val="1"/>
          <w:sz w:val="24"/>
          <w:szCs w:val="24"/>
        </w:rPr>
        <w:t>Tabla 2. Modelos incluidos en la comparativa: nivel de complejidad, implementación y justificación.</w:t>
      </w:r>
    </w:p>
    <w:tbl>
      <w:tblPr>
        <w:tblStyle w:val="TableNormal"/>
        <w:bidiVisual w:val="0"/>
        <w:tblW w:w="0" w:type="auto"/>
        <w:tblLook w:val="06A0" w:firstRow="1" w:lastRow="0" w:firstColumn="1" w:lastColumn="0" w:noHBand="1" w:noVBand="1"/>
      </w:tblPr>
      <w:tblGrid>
        <w:gridCol w:w="1200"/>
        <w:gridCol w:w="2160"/>
        <w:gridCol w:w="1800"/>
        <w:gridCol w:w="2205"/>
        <w:gridCol w:w="1995"/>
      </w:tblGrid>
      <w:tr w:rsidR="10338F85" w:rsidTr="10338F85" w14:paraId="7102BC67">
        <w:trPr>
          <w:trHeight w:val="300"/>
        </w:trPr>
        <w:tc>
          <w:tcPr>
            <w:tcW w:w="1200"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533ED38D" w14:textId="26217DE5">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Nivel</w:t>
            </w:r>
          </w:p>
        </w:tc>
        <w:tc>
          <w:tcPr>
            <w:tcW w:w="2160"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1ECFE01E" w14:textId="1A53C018">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Modelo</w:t>
            </w:r>
          </w:p>
        </w:tc>
        <w:tc>
          <w:tcPr>
            <w:tcW w:w="1800"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348318B8" w14:textId="0EA93D21">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Librería / Framework</w:t>
            </w:r>
          </w:p>
        </w:tc>
        <w:tc>
          <w:tcPr>
            <w:tcW w:w="220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240CC46C" w14:textId="6E4B2CA5">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Estrategia de pronóstico</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33C3D4DD" w14:textId="71EE1ECC">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Justificación de inclusión</w:t>
            </w:r>
          </w:p>
        </w:tc>
      </w:tr>
      <w:tr w:rsidR="10338F85" w:rsidTr="10338F85" w14:paraId="6F10B572">
        <w:trPr>
          <w:trHeight w:val="300"/>
        </w:trPr>
        <w:tc>
          <w:tcPr>
            <w:tcW w:w="12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47EAE9F6" w14:textId="6A3798F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Baseline estadístico</w:t>
            </w:r>
          </w:p>
        </w:tc>
        <w:tc>
          <w:tcPr>
            <w:tcW w:w="21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0C64E7A3" w14:textId="350CE4B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Seasonal Naïve (SNaïve)</w:t>
            </w:r>
          </w:p>
        </w:tc>
        <w:tc>
          <w:tcPr>
            <w:tcW w:w="18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0D6DD7BE" w14:textId="491171C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NumPy (implementación propia)</w:t>
            </w:r>
          </w:p>
        </w:tc>
        <w:tc>
          <w:tcPr>
            <w:tcW w:w="22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46750D62" w14:textId="61D8822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Repite el último patrón estacional de 12 meses hasta cubrir el horizonte de 18</w:t>
            </w:r>
          </w:p>
        </w:tc>
        <w:tc>
          <w:tcPr>
            <w:tcW w:w="19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D8D079E" w14:textId="6EC883DB">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Referencia mínima obligatoria en pronóstico mensual; punto de comparación inferior (Hyndman &amp; Athanasopoulos, 2021)</w:t>
            </w:r>
          </w:p>
        </w:tc>
      </w:tr>
      <w:tr w:rsidR="10338F85" w:rsidTr="10338F85" w14:paraId="0D64D82D">
        <w:trPr>
          <w:trHeight w:val="300"/>
        </w:trPr>
        <w:tc>
          <w:tcPr>
            <w:tcW w:w="120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7D7513CD" w14:textId="7DD89D4A">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Estadístico clásico</w:t>
            </w:r>
          </w:p>
        </w:tc>
        <w:tc>
          <w:tcPr>
            <w:tcW w:w="216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2F2A713E" w14:textId="5809B1AB">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ETS / Holt-Winters</w:t>
            </w:r>
          </w:p>
        </w:tc>
        <w:tc>
          <w:tcPr>
            <w:tcW w:w="180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344675E9" w14:textId="5E0AF0CE">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statsmodels (ExponentialSmoothing)</w:t>
            </w:r>
          </w:p>
        </w:tc>
        <w:tc>
          <w:tcPr>
            <w:tcW w:w="22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202F0992" w14:textId="27CED5D8">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Ajuste por MLE en cada ventana de entrenamiento; pronóstico directo multi-paso</w:t>
            </w:r>
          </w:p>
        </w:tc>
        <w:tc>
          <w:tcPr>
            <w:tcW w:w="199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7687CE78" w14:textId="79ABB0F7">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Modelo paramétrico estándar en FP&amp;A; representa el estado actual de la práctica en muchas organizaciones (Armstrong, 2001)</w:t>
            </w:r>
          </w:p>
        </w:tc>
      </w:tr>
      <w:tr w:rsidR="10338F85" w:rsidTr="10338F85" w14:paraId="51811367">
        <w:trPr>
          <w:trHeight w:val="300"/>
        </w:trPr>
        <w:tc>
          <w:tcPr>
            <w:tcW w:w="12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4300676D" w14:textId="1D9C8FB9">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Machine Learning</w:t>
            </w:r>
          </w:p>
        </w:tc>
        <w:tc>
          <w:tcPr>
            <w:tcW w:w="21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3E7364A4" w14:textId="168CC13A">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LightGBM (optimizado)</w:t>
            </w:r>
          </w:p>
        </w:tc>
        <w:tc>
          <w:tcPr>
            <w:tcW w:w="18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2E797C5D" w14:textId="6E394705">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lightgbm</w:t>
            </w:r>
          </w:p>
        </w:tc>
        <w:tc>
          <w:tcPr>
            <w:tcW w:w="22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8520676" w14:textId="3C63ECA7">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Global forecasting tabular; 36 lags como features; pronóstico recursivo; escalado MaxAbs por serie</w:t>
            </w:r>
          </w:p>
        </w:tc>
        <w:tc>
          <w:tcPr>
            <w:tcW w:w="19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56503E21" w14:textId="1212867E">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Mejor resultado de gradient boosting en competiciones de series temporales recientes (Januschowski et al., 2020)</w:t>
            </w:r>
          </w:p>
        </w:tc>
      </w:tr>
      <w:tr w:rsidR="10338F85" w:rsidTr="10338F85" w14:paraId="78D48898">
        <w:trPr>
          <w:trHeight w:val="300"/>
        </w:trPr>
        <w:tc>
          <w:tcPr>
            <w:tcW w:w="120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1C62E7AE" w14:textId="6E7AF3EB">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Deep Learning tabular</w:t>
            </w:r>
          </w:p>
        </w:tc>
        <w:tc>
          <w:tcPr>
            <w:tcW w:w="216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FDBBBFC" w14:textId="05422E6D">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MLP optimizado (Bottleneck)</w:t>
            </w:r>
          </w:p>
        </w:tc>
        <w:tc>
          <w:tcPr>
            <w:tcW w:w="180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5D84A3D" w14:textId="796D1B3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PyTorch</w:t>
            </w:r>
          </w:p>
        </w:tc>
        <w:tc>
          <w:tcPr>
            <w:tcW w:w="22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DCE6EE6" w14:textId="6880AFED">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Global forecasting; direct forecasting multi-output (predice 18 meses simultáneamente); arquitectura bottleneck con BatchNorm y AdamW</w:t>
            </w:r>
          </w:p>
        </w:tc>
        <w:tc>
          <w:tcPr>
            <w:tcW w:w="199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22AEEE34" w14:textId="78ACE0E5">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Evalúa si el deep learning tabular aporta valor sobre gradient boosting en este dominio y rango de datos (Lim &amp; Zohren, 2021)</w:t>
            </w:r>
          </w:p>
        </w:tc>
      </w:tr>
      <w:tr w:rsidR="10338F85" w:rsidTr="10338F85" w14:paraId="22E6930A">
        <w:trPr>
          <w:trHeight w:val="300"/>
        </w:trPr>
        <w:tc>
          <w:tcPr>
            <w:tcW w:w="12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5880CD2C" w14:textId="5D208BF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Deep Learning temporal</w:t>
            </w:r>
          </w:p>
        </w:tc>
        <w:tc>
          <w:tcPr>
            <w:tcW w:w="216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2918D825" w14:textId="586A66AA">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N-BEATS (interpretable)</w:t>
            </w:r>
          </w:p>
        </w:tc>
        <w:tc>
          <w:tcPr>
            <w:tcW w:w="18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1A781E96" w14:textId="4797CA40">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Darts (PyTorch Lightning)</w:t>
            </w:r>
          </w:p>
        </w:tc>
        <w:tc>
          <w:tcPr>
            <w:tcW w:w="22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20B7F629" w14:textId="64C9B71E">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Global forecasting; direct forecasting; descomposición explícita en bloques de tendencia y estacionalidad; entrenamiento sobre las 8.493 series simultáneamente</w:t>
            </w:r>
          </w:p>
        </w:tc>
        <w:tc>
          <w:tcPr>
            <w:tcW w:w="19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1F9B379A" w14:textId="0F70BF20">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Arquitectura diseñada específicamente para series temporales; interpretabilidad estructural alineada con las necesidades de FP&amp;A (Oreshkin et al., 2020)</w:t>
            </w:r>
          </w:p>
        </w:tc>
      </w:tr>
    </w:tbl>
    <w:p w:rsidR="7E474C3E" w:rsidP="10338F85" w:rsidRDefault="7E474C3E" w14:paraId="49240D01" w14:textId="5716A857">
      <w:pPr>
        <w:bidi w:val="0"/>
        <w:spacing w:before="60" w:beforeAutospacing="off" w:after="200" w:afterAutospacing="off"/>
        <w:jc w:val="left"/>
        <w:rPr>
          <w:rFonts w:ascii="Calibri" w:hAnsi="Calibri" w:eastAsia="Calibri" w:cs="Calibri" w:asciiTheme="minorAscii" w:hAnsiTheme="minorAscii" w:eastAsiaTheme="minorAscii" w:cstheme="minorAscii"/>
          <w:i w:val="1"/>
          <w:iCs w:val="1"/>
          <w:color w:val="555555"/>
          <w:sz w:val="24"/>
          <w:szCs w:val="24"/>
        </w:rPr>
      </w:pPr>
      <w:r w:rsidRPr="10338F85" w:rsidR="7E474C3E">
        <w:rPr>
          <w:rFonts w:ascii="Calibri" w:hAnsi="Calibri" w:eastAsia="Calibri" w:cs="Calibri" w:asciiTheme="minorAscii" w:hAnsiTheme="minorAscii" w:eastAsiaTheme="minorAscii" w:cstheme="minorAscii"/>
          <w:i w:val="1"/>
          <w:iCs w:val="1"/>
          <w:color w:val="555555"/>
          <w:sz w:val="24"/>
          <w:szCs w:val="24"/>
        </w:rPr>
        <w:t>Fuente: elaboración propia.</w:t>
      </w:r>
    </w:p>
    <w:p w:rsidR="7E474C3E" w:rsidP="10338F85" w:rsidRDefault="7E474C3E" w14:paraId="6F36CA54" w14:textId="60E3D215">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Una aclaración metodológica relevante afecta a los modelos de gradient boosting y deep learning: ambos se implementan bajo el paradigma de global forecasting, es decir, un único modelo es entrenado simultáneamente con todas las series disponibles, tratando cada ventana temporal de cada serie como una muestra independiente en la matriz de entrenamiento. Este enfoque, a diferencia del entrenamiento local por serie que usan los métodos estadísticos clásicos, permite que los modelos aprendan patrones compartidos entre series, lo que ha demostrado ser especialmente ventajoso cuando el número de series es grande y las series individuales son relativamente cortas (Januschowski et al., 2020). La comparación entre modelos locales (SNaïve, ETS) y modelos globales (LightGBM, MLP, N-BEATS) es, en sí misma, una de las dimensiones de análisis del experimento.</w:t>
      </w:r>
    </w:p>
    <w:p w:rsidR="7E474C3E" w:rsidP="10338F85" w:rsidRDefault="7E474C3E" w14:paraId="237009A8" w14:textId="716C79A5">
      <w:pPr>
        <w:pStyle w:val="Heading2"/>
        <w:bidi w:val="0"/>
        <w:spacing w:before="280" w:beforeAutospacing="off" w:after="120" w:afterAutospacing="off"/>
        <w:jc w:val="left"/>
        <w:rPr>
          <w:rFonts w:ascii="Calibri" w:hAnsi="Calibri" w:eastAsia="Calibri" w:cs="Calibri" w:asciiTheme="minorAscii" w:hAnsiTheme="minorAscii" w:eastAsiaTheme="minorAscii" w:cstheme="minorAscii"/>
          <w:color w:val="2E74B5"/>
          <w:sz w:val="24"/>
          <w:szCs w:val="24"/>
        </w:rPr>
      </w:pPr>
      <w:r w:rsidRPr="10338F85" w:rsidR="7E474C3E">
        <w:rPr>
          <w:rFonts w:ascii="Calibri" w:hAnsi="Calibri" w:eastAsia="Calibri" w:cs="Calibri" w:asciiTheme="minorAscii" w:hAnsiTheme="minorAscii" w:eastAsiaTheme="minorAscii" w:cstheme="minorAscii"/>
          <w:color w:val="2E74B5"/>
          <w:sz w:val="24"/>
          <w:szCs w:val="24"/>
        </w:rPr>
        <w:t>4.4. Métricas de evaluación</w:t>
      </w:r>
    </w:p>
    <w:p w:rsidR="7E474C3E" w:rsidP="10338F85" w:rsidRDefault="7E474C3E" w14:paraId="17193DDE" w14:textId="64BCD8F2">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La selección de métricas responde al principio establecido en el capítulo 2: la evaluación debe operar en dos planos complementarios. Por un lado, las métricas estadísticas permiten comparar la precisión técnica de los modelos de forma independiente de la escala y el dominio. Por otro, las métricas de impacto económico traducen esa precisión en términos de valor para el negocio, que es el argumento diferencial de este trabajo respecto a los benchmarks convencionales. La Tabla 3 describe las cinco métricas adoptadas, su categoría y su rol específico en la comparativa.</w:t>
      </w:r>
    </w:p>
    <w:p w:rsidR="7E474C3E" w:rsidP="10338F85" w:rsidRDefault="7E474C3E" w14:paraId="54A3A576" w14:textId="2E70CE44">
      <w:pPr>
        <w:bidi w:val="0"/>
        <w:spacing w:before="160" w:beforeAutospacing="off" w:after="60" w:afterAutospacing="off"/>
        <w:jc w:val="left"/>
        <w:rPr>
          <w:rFonts w:ascii="Calibri" w:hAnsi="Calibri" w:eastAsia="Calibri" w:cs="Calibri" w:asciiTheme="minorAscii" w:hAnsiTheme="minorAscii" w:eastAsiaTheme="minorAscii" w:cstheme="minorAscii"/>
          <w:b w:val="1"/>
          <w:bCs w:val="1"/>
          <w:sz w:val="24"/>
          <w:szCs w:val="24"/>
        </w:rPr>
      </w:pPr>
      <w:r w:rsidRPr="10338F85" w:rsidR="7E474C3E">
        <w:rPr>
          <w:rFonts w:ascii="Calibri" w:hAnsi="Calibri" w:eastAsia="Calibri" w:cs="Calibri" w:asciiTheme="minorAscii" w:hAnsiTheme="minorAscii" w:eastAsiaTheme="minorAscii" w:cstheme="minorAscii"/>
          <w:b w:val="1"/>
          <w:bCs w:val="1"/>
          <w:sz w:val="24"/>
          <w:szCs w:val="24"/>
        </w:rPr>
        <w:t>Tabla 3. Métricas de evaluación adoptadas: categoría, nivel de análisis y rol en la comparativa.</w:t>
      </w:r>
    </w:p>
    <w:tbl>
      <w:tblPr>
        <w:tblStyle w:val="TableNormal"/>
        <w:bidiVisual w:val="0"/>
        <w:tblW w:w="0" w:type="auto"/>
        <w:tblLook w:val="06A0" w:firstRow="1" w:lastRow="0" w:firstColumn="1" w:lastColumn="0" w:noHBand="1" w:noVBand="1"/>
      </w:tblPr>
      <w:tblGrid>
        <w:gridCol w:w="1605"/>
        <w:gridCol w:w="1755"/>
        <w:gridCol w:w="1995"/>
        <w:gridCol w:w="4005"/>
      </w:tblGrid>
      <w:tr w:rsidR="10338F85" w:rsidTr="10338F85" w14:paraId="1B5C579C">
        <w:trPr>
          <w:trHeight w:val="300"/>
        </w:trPr>
        <w:tc>
          <w:tcPr>
            <w:tcW w:w="160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7316DF5C" w14:textId="3BC41E61">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Métrica</w:t>
            </w:r>
          </w:p>
        </w:tc>
        <w:tc>
          <w:tcPr>
            <w:tcW w:w="175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2B57954D" w14:textId="7415B409">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Categoría</w:t>
            </w:r>
          </w:p>
        </w:tc>
        <w:tc>
          <w:tcPr>
            <w:tcW w:w="199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58914DD9" w14:textId="50B3D542">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Nivel de análisis</w:t>
            </w:r>
          </w:p>
        </w:tc>
        <w:tc>
          <w:tcPr>
            <w:tcW w:w="400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2C4A7D5B" w14:textId="0BD6F128">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Rol en la comparativa</w:t>
            </w:r>
          </w:p>
        </w:tc>
      </w:tr>
      <w:tr w:rsidR="10338F85" w:rsidTr="10338F85" w14:paraId="6C326101">
        <w:trPr>
          <w:trHeight w:val="300"/>
        </w:trPr>
        <w:tc>
          <w:tcPr>
            <w:tcW w:w="16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3C5FB3EF" w14:textId="3C085D7F">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sMAPE</w:t>
            </w:r>
          </w:p>
        </w:tc>
        <w:tc>
          <w:tcPr>
            <w:tcW w:w="17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09D5DFDA" w14:textId="73EDE2E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Error porcentual simétrico</w:t>
            </w:r>
          </w:p>
        </w:tc>
        <w:tc>
          <w:tcPr>
            <w:tcW w:w="19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1F53E479" w14:textId="5DEC3255">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Por serie · Global</w:t>
            </w:r>
          </w:p>
        </w:tc>
        <w:tc>
          <w:tcPr>
            <w:tcW w:w="40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1A58FDDA" w14:textId="28A37188">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Métrica principal de comparación entre modelos; estándar de la competición M4; permite rankear los modelos y medir la mejora relativa sobre el baseline (Petropoulos et al., 2022)</w:t>
            </w:r>
          </w:p>
        </w:tc>
      </w:tr>
      <w:tr w:rsidR="10338F85" w:rsidTr="10338F85" w14:paraId="00FA0320">
        <w:trPr>
          <w:trHeight w:val="300"/>
        </w:trPr>
        <w:tc>
          <w:tcPr>
            <w:tcW w:w="16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70808CEC" w14:textId="53DBE0C9">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MAPE</w:t>
            </w:r>
          </w:p>
        </w:tc>
        <w:tc>
          <w:tcPr>
            <w:tcW w:w="17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4FC6B8D0" w14:textId="15EEFFE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Error porcentual</w:t>
            </w:r>
          </w:p>
        </w:tc>
        <w:tc>
          <w:tcPr>
            <w:tcW w:w="199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B6EB251" w14:textId="05563B80">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Por serie · Global</w:t>
            </w:r>
          </w:p>
        </w:tc>
        <w:tc>
          <w:tcPr>
            <w:tcW w:w="40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6C2D841D" w14:textId="22A1F71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Complementa el sMAPE para equipos de negocio; su asimetría conocida queda documentada pero no afecta el ranking ya que se usa de forma paralela, no como métrica primaria (Hyndman &amp; Athanasopoulos, 2021)</w:t>
            </w:r>
          </w:p>
        </w:tc>
      </w:tr>
      <w:tr w:rsidR="10338F85" w:rsidTr="10338F85" w14:paraId="3A3B6EB9">
        <w:trPr>
          <w:trHeight w:val="300"/>
        </w:trPr>
        <w:tc>
          <w:tcPr>
            <w:tcW w:w="16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CE97A86" w14:textId="67B1495B">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MASE</w:t>
            </w:r>
          </w:p>
        </w:tc>
        <w:tc>
          <w:tcPr>
            <w:tcW w:w="17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6B2AAB63" w14:textId="783C0EF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Error escalado</w:t>
            </w:r>
          </w:p>
        </w:tc>
        <w:tc>
          <w:tcPr>
            <w:tcW w:w="19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F740EC8" w14:textId="0932D0BF">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Por serie · Global</w:t>
            </w:r>
          </w:p>
        </w:tc>
        <w:tc>
          <w:tcPr>
            <w:tcW w:w="40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14E79B64" w14:textId="0C212B6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Permite comparar el desempeño de cada modelo frente al naïve estacional en términos relativos y libres de escala; valores &lt; 1 indican superación del baseline (Hyndman &amp; Athanasopoulos, 2021)</w:t>
            </w:r>
          </w:p>
        </w:tc>
      </w:tr>
      <w:tr w:rsidR="10338F85" w:rsidTr="10338F85" w14:paraId="158FA46E">
        <w:trPr>
          <w:trHeight w:val="300"/>
        </w:trPr>
        <w:tc>
          <w:tcPr>
            <w:tcW w:w="16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1E1CBC0B" w14:textId="480A910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WAPE</w:t>
            </w:r>
          </w:p>
        </w:tc>
        <w:tc>
          <w:tcPr>
            <w:tcW w:w="17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11F984EC" w14:textId="781BBC31">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Impacto económico ponderado</w:t>
            </w:r>
          </w:p>
        </w:tc>
        <w:tc>
          <w:tcPr>
            <w:tcW w:w="199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14016BD9" w14:textId="7BD5236D">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Agregado global</w:t>
            </w:r>
          </w:p>
        </w:tc>
        <w:tc>
          <w:tcPr>
            <w:tcW w:w="40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6A8B7BA5" w14:textId="2F9B5516">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Pondera los errores según el volumen absoluto de cada serie, de modo que los errores en series de mayor magnitud tienen más peso en la evaluación final; alinea la medición con el impacto económico real (Makridakis et al., 2022)</w:t>
            </w:r>
          </w:p>
        </w:tc>
      </w:tr>
      <w:tr w:rsidR="10338F85" w:rsidTr="10338F85" w14:paraId="7B976E3E">
        <w:trPr>
          <w:trHeight w:val="300"/>
        </w:trPr>
        <w:tc>
          <w:tcPr>
            <w:tcW w:w="16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5651C648" w14:textId="530915CB">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Contribución al error absoluto</w:t>
            </w:r>
          </w:p>
        </w:tc>
        <w:tc>
          <w:tcPr>
            <w:tcW w:w="17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4AC6E49E" w14:textId="291F3AB6">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Impacto económico desagregado</w:t>
            </w:r>
          </w:p>
        </w:tc>
        <w:tc>
          <w:tcPr>
            <w:tcW w:w="199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5CED56E4" w14:textId="6BCE61C8">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Por decil de volumen</w:t>
            </w:r>
          </w:p>
        </w:tc>
        <w:tc>
          <w:tcPr>
            <w:tcW w:w="40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3AF2A49" w14:textId="254D9B3B">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Desglosa qué proporción del error total proviene de cada segmento de series ordenado por volumen; permite identificar si los modelos más complejos reducen el error donde más importa financieramente (Makridakis et al., 2022)</w:t>
            </w:r>
          </w:p>
        </w:tc>
      </w:tr>
    </w:tbl>
    <w:p w:rsidR="7E474C3E" w:rsidP="10338F85" w:rsidRDefault="7E474C3E" w14:paraId="2E8308A3" w14:textId="154C6426">
      <w:pPr>
        <w:bidi w:val="0"/>
        <w:spacing w:before="60" w:beforeAutospacing="off" w:after="200" w:afterAutospacing="off"/>
        <w:jc w:val="left"/>
        <w:rPr>
          <w:rFonts w:ascii="Calibri" w:hAnsi="Calibri" w:eastAsia="Calibri" w:cs="Calibri" w:asciiTheme="minorAscii" w:hAnsiTheme="minorAscii" w:eastAsiaTheme="minorAscii" w:cstheme="minorAscii"/>
          <w:i w:val="1"/>
          <w:iCs w:val="1"/>
          <w:color w:val="555555"/>
          <w:sz w:val="24"/>
          <w:szCs w:val="24"/>
        </w:rPr>
      </w:pPr>
      <w:r w:rsidRPr="10338F85" w:rsidR="7E474C3E">
        <w:rPr>
          <w:rFonts w:ascii="Calibri" w:hAnsi="Calibri" w:eastAsia="Calibri" w:cs="Calibri" w:asciiTheme="minorAscii" w:hAnsiTheme="minorAscii" w:eastAsiaTheme="minorAscii" w:cstheme="minorAscii"/>
          <w:i w:val="1"/>
          <w:iCs w:val="1"/>
          <w:color w:val="555555"/>
          <w:sz w:val="24"/>
          <w:szCs w:val="24"/>
        </w:rPr>
        <w:t>Fuente: elaboración propia a partir de Petropoulos et al. (2022), Hyndman &amp; Athanasopoulos (2021) y Makridakis et al. (2022).</w:t>
      </w:r>
    </w:p>
    <w:p w:rsidR="7E474C3E" w:rsidP="10338F85" w:rsidRDefault="7E474C3E" w14:paraId="274F191B" w14:textId="143527E2">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La elección del sMAPE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naïve estacional, mientras que el WAPE y la contribución al error absoluto introducen la dimensión económica que diferencia el enfoque de este trabajo. Esta combinación de métricas permite responder a preguntas distintas: ¿qué modelo comete menos error en promedio?, ¿qué modelo supera de forma más consistente al baseline más simple?, y ¿qué modelo reduce el error donde el impacto financiero es mayor?</w:t>
      </w:r>
    </w:p>
    <w:p w:rsidR="7E474C3E" w:rsidP="10338F85" w:rsidRDefault="7E474C3E" w14:paraId="433F9A93" w14:textId="3F452340">
      <w:pPr>
        <w:pStyle w:val="Heading2"/>
        <w:bidi w:val="0"/>
        <w:spacing w:before="280" w:beforeAutospacing="off" w:after="120" w:afterAutospacing="off"/>
        <w:jc w:val="left"/>
        <w:rPr>
          <w:rFonts w:ascii="Calibri" w:hAnsi="Calibri" w:eastAsia="Calibri" w:cs="Calibri" w:asciiTheme="minorAscii" w:hAnsiTheme="minorAscii" w:eastAsiaTheme="minorAscii" w:cstheme="minorAscii"/>
          <w:color w:val="2E74B5"/>
          <w:sz w:val="24"/>
          <w:szCs w:val="24"/>
        </w:rPr>
      </w:pPr>
      <w:r w:rsidRPr="10338F85" w:rsidR="7E474C3E">
        <w:rPr>
          <w:rFonts w:ascii="Calibri" w:hAnsi="Calibri" w:eastAsia="Calibri" w:cs="Calibri" w:asciiTheme="minorAscii" w:hAnsiTheme="minorAscii" w:eastAsiaTheme="minorAscii" w:cstheme="minorAscii"/>
          <w:color w:val="2E74B5"/>
          <w:sz w:val="24"/>
          <w:szCs w:val="24"/>
        </w:rPr>
        <w:t>4.5. Protocolo de validación temporal</w:t>
      </w:r>
    </w:p>
    <w:p w:rsidR="7E474C3E" w:rsidP="10338F85" w:rsidRDefault="7E474C3E" w14:paraId="22BDEEA1" w14:textId="28EEB93F">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El protocolo de backtesting walk-forward es el componente metodológico más crítico de la comparativa. Como demostraron Bergmeir y Hyndman (2012), la alternativa más común —el hold-out simple con un único período de test fijo— produce estimaciones de desempeño entre un 20 % y un 30 % más optimistas que los resultados reales en producción, como consecuencia de la contaminación temporal entre particiones. En el contexto de este trabajo, utilizar un hold-out simple hubiera sido especialmente problemático para los modelos de machine learning y deep learning, cuyos procesos de ajuste de hiperparámetros tienen una capacidad potencial de sobreajuste al período de test que solo es controlable mediante iteraciones múltiples de evaluación temporal.</w:t>
      </w:r>
    </w:p>
    <w:p w:rsidR="7E474C3E" w:rsidP="10338F85" w:rsidRDefault="7E474C3E" w14:paraId="1D019AAD" w14:textId="762844C5">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El protocolo walk-forward adoptado genera, para cada serie, múltiples pares de ventanas de entrenamiento y evaluación desplazadas en el tiempo, garantizando que cada pronóstico se produce utilizando únicamente la información que habría estado disponible en ese momento real. La Tabla 4 documenta los parámetros específicos del protocolo y su justificación.</w:t>
      </w:r>
    </w:p>
    <w:p w:rsidR="7E474C3E" w:rsidP="10338F85" w:rsidRDefault="7E474C3E" w14:paraId="4F8E2BCB" w14:textId="56FE54FE">
      <w:pPr>
        <w:bidi w:val="0"/>
        <w:spacing w:before="160" w:beforeAutospacing="off" w:after="60" w:afterAutospacing="off"/>
        <w:jc w:val="left"/>
        <w:rPr>
          <w:rFonts w:ascii="Calibri" w:hAnsi="Calibri" w:eastAsia="Calibri" w:cs="Calibri" w:asciiTheme="minorAscii" w:hAnsiTheme="minorAscii" w:eastAsiaTheme="minorAscii" w:cstheme="minorAscii"/>
          <w:b w:val="1"/>
          <w:bCs w:val="1"/>
          <w:sz w:val="24"/>
          <w:szCs w:val="24"/>
        </w:rPr>
      </w:pPr>
      <w:r w:rsidRPr="10338F85" w:rsidR="7E474C3E">
        <w:rPr>
          <w:rFonts w:ascii="Calibri" w:hAnsi="Calibri" w:eastAsia="Calibri" w:cs="Calibri" w:asciiTheme="minorAscii" w:hAnsiTheme="minorAscii" w:eastAsiaTheme="minorAscii" w:cstheme="minorAscii"/>
          <w:b w:val="1"/>
          <w:bCs w:val="1"/>
          <w:sz w:val="24"/>
          <w:szCs w:val="24"/>
        </w:rPr>
        <w:t>Tabla 4. Parámetros del protocolo de backtesting walk-forward y su justificación.</w:t>
      </w:r>
    </w:p>
    <w:tbl>
      <w:tblPr>
        <w:tblStyle w:val="TableNormal"/>
        <w:bidiVisual w:val="0"/>
        <w:tblW w:w="0" w:type="auto"/>
        <w:tblLook w:val="06A0" w:firstRow="1" w:lastRow="0" w:firstColumn="1" w:lastColumn="0" w:noHBand="1" w:noVBand="1"/>
      </w:tblPr>
      <w:tblGrid>
        <w:gridCol w:w="2805"/>
        <w:gridCol w:w="6555"/>
      </w:tblGrid>
      <w:tr w:rsidR="10338F85" w:rsidTr="10338F85" w14:paraId="5136B087">
        <w:trPr>
          <w:trHeight w:val="300"/>
        </w:trPr>
        <w:tc>
          <w:tcPr>
            <w:tcW w:w="280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491D18CC" w14:textId="5388AF2A">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Parámetro del protocolo</w:t>
            </w:r>
          </w:p>
        </w:tc>
        <w:tc>
          <w:tcPr>
            <w:tcW w:w="6555"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3096756F" w14:textId="4C37E8D5">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Valor y justificación</w:t>
            </w:r>
          </w:p>
        </w:tc>
      </w:tr>
      <w:tr w:rsidR="10338F85" w:rsidTr="10338F85" w14:paraId="48F8BD9D">
        <w:trPr>
          <w:trHeight w:val="300"/>
        </w:trPr>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13E73F55" w14:textId="2A86496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Longitud mínima de ventana inicial de entrenamiento</w:t>
            </w:r>
          </w:p>
        </w:tc>
        <w:tc>
          <w:tcPr>
            <w:tcW w:w="65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00844657" w14:textId="4DCE1C58">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54 meses (4,5 años). Garantiza que cada modelo disponga de al menos cuatro ciclos estacionales completos para el ajuste de parámetros, umbral considerado suficiente para los métodos estadísticos con estacionalidad anual (Hyndman &amp; Athanasopoulos, 2021).</w:t>
            </w:r>
          </w:p>
        </w:tc>
      </w:tr>
      <w:tr w:rsidR="10338F85" w:rsidTr="10338F85" w14:paraId="30A17872">
        <w:trPr>
          <w:trHeight w:val="300"/>
        </w:trPr>
        <w:tc>
          <w:tcPr>
            <w:tcW w:w="28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D046465" w14:textId="3C1E617B">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Horizonte de pronóstico por iteración</w:t>
            </w:r>
          </w:p>
        </w:tc>
        <w:tc>
          <w:tcPr>
            <w:tcW w:w="65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6BD29FC6" w14:textId="71067BC9">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18 meses. Corresponde al horizonte estándar M4 mensual y cubre aproximadamente un ciclo y medio de planificación financiera, relevante para el contexto FP&amp;A.</w:t>
            </w:r>
          </w:p>
        </w:tc>
      </w:tr>
      <w:tr w:rsidR="10338F85" w:rsidTr="10338F85" w14:paraId="646CC705">
        <w:trPr>
          <w:trHeight w:val="300"/>
        </w:trPr>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6C5E11F7" w14:textId="59A6C6A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Desplazamiento entre iteraciones (step)</w:t>
            </w:r>
          </w:p>
        </w:tc>
        <w:tc>
          <w:tcPr>
            <w:tcW w:w="65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4E5D88D7" w14:textId="40218A37">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12 meses. Cada nueva ventana avanza un año completo, lo que preserva la estructura estacional de los datos y produce iteraciones de evaluación representativas de distintos momentos del ciclo financiero.</w:t>
            </w:r>
          </w:p>
        </w:tc>
      </w:tr>
      <w:tr w:rsidR="10338F85" w:rsidTr="10338F85" w14:paraId="0CC446BE">
        <w:trPr>
          <w:trHeight w:val="300"/>
        </w:trPr>
        <w:tc>
          <w:tcPr>
            <w:tcW w:w="28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3CF5AEFB" w14:textId="5F30914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Número de iteraciones</w:t>
            </w:r>
          </w:p>
        </w:tc>
        <w:tc>
          <w:tcPr>
            <w:tcW w:w="65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042B2047" w14:textId="6CA1C49A">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Variable según la longitud de cada serie. Para una serie de longitud media (184 meses), se generan aproximadamente 9 iteraciones de evaluación independientes, lo que permite analizar la estabilidad temporal del desempeño.</w:t>
            </w:r>
          </w:p>
        </w:tc>
      </w:tr>
      <w:tr w:rsidR="10338F85" w:rsidTr="10338F85" w14:paraId="68A4A880">
        <w:trPr>
          <w:trHeight w:val="300"/>
        </w:trPr>
        <w:tc>
          <w:tcPr>
            <w:tcW w:w="280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279AF1AD" w14:textId="0BECB932">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Variante de ventana</w:t>
            </w:r>
          </w:p>
        </w:tc>
        <w:tc>
          <w:tcPr>
            <w:tcW w:w="6555"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68D466A3" w14:textId="607A08A4">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Expanding window (ventana creciente). El conjunto de entrenamiento acumula todas las observaciones disponibles hasta el punto de corte de cada iteración, lo que aprovecha el historial completo y es apropiado dado que las series no presentan cambios de régimen conocidos que justifiquen una ventana deslizante fija.</w:t>
            </w:r>
          </w:p>
        </w:tc>
      </w:tr>
      <w:tr w:rsidR="10338F85" w:rsidTr="10338F85" w14:paraId="5BDE6300">
        <w:trPr>
          <w:trHeight w:val="300"/>
        </w:trPr>
        <w:tc>
          <w:tcPr>
            <w:tcW w:w="280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35D94D83" w14:textId="3EE5732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Control de data leakage</w:t>
            </w:r>
          </w:p>
        </w:tc>
        <w:tc>
          <w:tcPr>
            <w:tcW w:w="6555"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2D9EB230" w14:textId="2C4607DF">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En ninguna iteración los datos del período de evaluación (t+1 a t+18) son accesibles durante el ajuste del modelo ni durante la ingeniería de features. Para los modelos con hiperparámetros (LightGBM, MLP, N-BEATS), el ajuste se realiza exclusivamente sobre la ventana de entrenamiento de cada iteración (Bergmeir &amp; Hyndman, 2012).</w:t>
            </w:r>
          </w:p>
        </w:tc>
      </w:tr>
    </w:tbl>
    <w:p w:rsidR="7E474C3E" w:rsidP="10338F85" w:rsidRDefault="7E474C3E" w14:paraId="71DE657A" w14:textId="7B64A40D">
      <w:pPr>
        <w:bidi w:val="0"/>
        <w:spacing w:before="60" w:beforeAutospacing="off" w:after="200" w:afterAutospacing="off"/>
        <w:jc w:val="left"/>
        <w:rPr>
          <w:rFonts w:ascii="Calibri" w:hAnsi="Calibri" w:eastAsia="Calibri" w:cs="Calibri" w:asciiTheme="minorAscii" w:hAnsiTheme="minorAscii" w:eastAsiaTheme="minorAscii" w:cstheme="minorAscii"/>
          <w:i w:val="1"/>
          <w:iCs w:val="1"/>
          <w:color w:val="555555"/>
          <w:sz w:val="24"/>
          <w:szCs w:val="24"/>
        </w:rPr>
      </w:pPr>
      <w:r w:rsidRPr="10338F85" w:rsidR="7E474C3E">
        <w:rPr>
          <w:rFonts w:ascii="Calibri" w:hAnsi="Calibri" w:eastAsia="Calibri" w:cs="Calibri" w:asciiTheme="minorAscii" w:hAnsiTheme="minorAscii" w:eastAsiaTheme="minorAscii" w:cstheme="minorAscii"/>
          <w:i w:val="1"/>
          <w:iCs w:val="1"/>
          <w:color w:val="555555"/>
          <w:sz w:val="24"/>
          <w:szCs w:val="24"/>
        </w:rPr>
        <w:t>Fuente: elaboración propia a partir de Bergmeir &amp; Hyndman (2012) y Hyndman &amp; Athanasopoulos (2021).</w:t>
      </w:r>
    </w:p>
    <w:p w:rsidR="7E474C3E" w:rsidP="10338F85" w:rsidRDefault="7E474C3E" w14:paraId="0247496A" w14:textId="31A5917E">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Una implicación práctica de este protocolo es que el número total de evaluaciones no es fijo, sino que depende de la longitud de cada serie. Para las series de mayor longitud —que en algunos casos superan los 200 meses— se generan hasta 12 iteraciones de evaluación independientes, lo que permite un análisis particularmente rico de la estabilidad temporal del desempeño. Para las series próximas al umbral mínimo de 72 meses, el número de iteraciones desciende a cuatro o cinco, que se considera suficiente para detectar tendencias sistemáticas de desempeño. Las métricas finales reportadas en el capítulo 5 corresponden al promedio ponderado de todas las iteraciones walk-forward de todas las series, lo que produce estimaciones representativas del desempeño esperado en condiciones de producción real.</w:t>
      </w:r>
    </w:p>
    <w:p w:rsidR="7E474C3E" w:rsidP="10338F85" w:rsidRDefault="7E474C3E" w14:paraId="1EB75011" w14:textId="2B96CBE0">
      <w:pPr>
        <w:pStyle w:val="Heading2"/>
        <w:bidi w:val="0"/>
        <w:spacing w:before="280" w:beforeAutospacing="off" w:after="120" w:afterAutospacing="off"/>
        <w:jc w:val="left"/>
        <w:rPr>
          <w:rFonts w:ascii="Calibri" w:hAnsi="Calibri" w:eastAsia="Calibri" w:cs="Calibri" w:asciiTheme="minorAscii" w:hAnsiTheme="minorAscii" w:eastAsiaTheme="minorAscii" w:cstheme="minorAscii"/>
          <w:color w:val="2E74B5"/>
          <w:sz w:val="24"/>
          <w:szCs w:val="24"/>
        </w:rPr>
      </w:pPr>
      <w:r w:rsidRPr="10338F85" w:rsidR="7E474C3E">
        <w:rPr>
          <w:rFonts w:ascii="Calibri" w:hAnsi="Calibri" w:eastAsia="Calibri" w:cs="Calibri" w:asciiTheme="minorAscii" w:hAnsiTheme="minorAscii" w:eastAsiaTheme="minorAscii" w:cstheme="minorAscii"/>
          <w:color w:val="2E74B5"/>
          <w:sz w:val="24"/>
          <w:szCs w:val="24"/>
        </w:rPr>
        <w:t>4.6. Criterios de éxito</w:t>
      </w:r>
    </w:p>
    <w:p w:rsidR="7E474C3E" w:rsidP="10338F85" w:rsidRDefault="7E474C3E" w14:paraId="3807104C" w14:textId="45DB2C80">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Para que la comparativa produzca conclusiones operacionalizables —y no simplemente un ranking de modelos— es necesario definir con antelación qué condiciones constituyen un resultado significativo. Los criterios de éxito recogidos en la Tabla 5 operan en dos niveles: el primero establece cuándo un modelo puede considerarse que supera al baseline de referencia, y el segundo establece cuándo la mejora de un modelo complejo sobre otro justifica la inversión adicional en complejidad de implementación y recursos computacionales.</w:t>
      </w:r>
    </w:p>
    <w:p w:rsidR="7E474C3E" w:rsidP="10338F85" w:rsidRDefault="7E474C3E" w14:paraId="65327BF9" w14:textId="6FD94A3F">
      <w:pPr>
        <w:bidi w:val="0"/>
        <w:spacing w:before="160" w:beforeAutospacing="off" w:after="60" w:afterAutospacing="off"/>
        <w:jc w:val="left"/>
        <w:rPr>
          <w:rFonts w:ascii="Calibri" w:hAnsi="Calibri" w:eastAsia="Calibri" w:cs="Calibri" w:asciiTheme="minorAscii" w:hAnsiTheme="minorAscii" w:eastAsiaTheme="minorAscii" w:cstheme="minorAscii"/>
          <w:b w:val="1"/>
          <w:bCs w:val="1"/>
          <w:sz w:val="24"/>
          <w:szCs w:val="24"/>
        </w:rPr>
      </w:pPr>
      <w:r w:rsidRPr="10338F85" w:rsidR="7E474C3E">
        <w:rPr>
          <w:rFonts w:ascii="Calibri" w:hAnsi="Calibri" w:eastAsia="Calibri" w:cs="Calibri" w:asciiTheme="minorAscii" w:hAnsiTheme="minorAscii" w:eastAsiaTheme="minorAscii" w:cstheme="minorAscii"/>
          <w:b w:val="1"/>
          <w:bCs w:val="1"/>
          <w:sz w:val="24"/>
          <w:szCs w:val="24"/>
        </w:rPr>
        <w:t>Tabla 5. Criterios de éxito de la comparativa: condiciones de superación del baseline y de diferenciación entre modelos.</w:t>
      </w:r>
    </w:p>
    <w:tbl>
      <w:tblPr>
        <w:tblStyle w:val="TableNormal"/>
        <w:bidiVisual w:val="0"/>
        <w:tblW w:w="0" w:type="auto"/>
        <w:tblLook w:val="06A0" w:firstRow="1" w:lastRow="0" w:firstColumn="1" w:lastColumn="0" w:noHBand="1" w:noVBand="1"/>
      </w:tblPr>
      <w:tblGrid>
        <w:gridCol w:w="2400"/>
        <w:gridCol w:w="3480"/>
        <w:gridCol w:w="3480"/>
      </w:tblGrid>
      <w:tr w:rsidR="10338F85" w:rsidTr="10338F85" w14:paraId="30D56667">
        <w:trPr>
          <w:trHeight w:val="300"/>
        </w:trPr>
        <w:tc>
          <w:tcPr>
            <w:tcW w:w="2400"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3F7B1017" w14:textId="3B53F640">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Criterio</w:t>
            </w:r>
          </w:p>
        </w:tc>
        <w:tc>
          <w:tcPr>
            <w:tcW w:w="3480"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7590BF58" w14:textId="4B6B7A3D">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Condición de superación del baseline</w:t>
            </w:r>
          </w:p>
        </w:tc>
        <w:tc>
          <w:tcPr>
            <w:tcW w:w="3480" w:type="dxa"/>
            <w:tcBorders>
              <w:top w:val="single" w:color="AAAAAA" w:sz="8"/>
              <w:left w:val="single" w:color="AAAAAA" w:sz="8"/>
              <w:bottom w:val="single" w:color="AAAAAA" w:sz="8"/>
              <w:right w:val="single" w:color="AAAAAA" w:sz="8"/>
            </w:tcBorders>
            <w:shd w:val="clear" w:color="auto" w:fill="1F4E79"/>
            <w:tcMar>
              <w:top w:w="80" w:type="dxa"/>
              <w:left w:w="120" w:type="dxa"/>
              <w:bottom w:w="80" w:type="dxa"/>
              <w:right w:w="120" w:type="dxa"/>
            </w:tcMar>
            <w:vAlign w:val="top"/>
          </w:tcPr>
          <w:p w:rsidR="10338F85" w:rsidP="10338F85" w:rsidRDefault="10338F85" w14:paraId="4956E54C" w14:textId="74E70D68">
            <w:pPr>
              <w:bidi w:val="0"/>
              <w:spacing w:before="0" w:beforeAutospacing="off" w:after="0" w:afterAutospacing="off"/>
              <w:rPr>
                <w:rFonts w:ascii="Calibri" w:hAnsi="Calibri" w:eastAsia="Calibri" w:cs="Calibri" w:asciiTheme="minorAscii" w:hAnsiTheme="minorAscii" w:eastAsiaTheme="minorAscii" w:cstheme="minorAscii"/>
                <w:b w:val="1"/>
                <w:bCs w:val="1"/>
                <w:color w:val="FFFFFF" w:themeColor="background1" w:themeTint="FF" w:themeShade="FF"/>
                <w:sz w:val="24"/>
                <w:szCs w:val="24"/>
              </w:rPr>
            </w:pPr>
            <w:r w:rsidRPr="10338F85" w:rsidR="10338F85">
              <w:rPr>
                <w:rFonts w:ascii="Calibri" w:hAnsi="Calibri" w:eastAsia="Calibri" w:cs="Calibri" w:asciiTheme="minorAscii" w:hAnsiTheme="minorAscii" w:eastAsiaTheme="minorAscii" w:cstheme="minorAscii"/>
                <w:b w:val="1"/>
                <w:bCs w:val="1"/>
                <w:color w:val="FFFFFF" w:themeColor="background1" w:themeTint="FF" w:themeShade="FF"/>
                <w:sz w:val="24"/>
                <w:szCs w:val="24"/>
              </w:rPr>
              <w:t>Condición de diferenciación entre modelos complejos</w:t>
            </w:r>
          </w:p>
        </w:tc>
      </w:tr>
      <w:tr w:rsidR="10338F85" w:rsidTr="10338F85" w14:paraId="57895C0B">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264B4044" w14:textId="52B10F89">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sMAPE global</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0D782122" w14:textId="37A7798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El modelo supera al SNaïve (14,45 % de referencia) con una reducción de al menos 1 punto porcentual absoluto</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D7AD7B4" w14:textId="1412F043">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Los modelos de mayor complejidad superan al LightGBM optimizado con una reducción estadísticamente consistente entre iteraciones walk-forward</w:t>
            </w:r>
          </w:p>
        </w:tc>
      </w:tr>
      <w:tr w:rsidR="10338F85" w:rsidTr="10338F85" w14:paraId="61A9B386">
        <w:trPr>
          <w:trHeight w:val="300"/>
        </w:trPr>
        <w:tc>
          <w:tcPr>
            <w:tcW w:w="240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12CDC113" w14:textId="0143DBE5">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MASE global</w:t>
            </w:r>
          </w:p>
        </w:tc>
        <w:tc>
          <w:tcPr>
            <w:tcW w:w="348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08B569B4" w14:textId="20A650C8">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MASE &lt; 1,0 para todos los modelos evaluados (superación del naïve estacional en términos escalados)</w:t>
            </w:r>
          </w:p>
        </w:tc>
        <w:tc>
          <w:tcPr>
            <w:tcW w:w="348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04B51FF7" w14:textId="5147998C">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MASE &lt; 0,90 para los modelos de deep learning, indicando mejora sustancial sobre el naïve que justifica la complejidad adicional</w:t>
            </w:r>
          </w:p>
        </w:tc>
      </w:tr>
      <w:tr w:rsidR="10338F85" w:rsidTr="10338F85" w14:paraId="0A457902">
        <w:trPr>
          <w:trHeight w:val="300"/>
        </w:trPr>
        <w:tc>
          <w:tcPr>
            <w:tcW w:w="240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10A830FC" w14:textId="4466966F">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WAPE y contribución al error</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765A4B82" w14:textId="37B1E0A4">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El WAPE de cualquier modelo no supera el WAPE del SNaïve en el 30 % de mayor volumen de series</w:t>
            </w:r>
          </w:p>
        </w:tc>
        <w:tc>
          <w:tcPr>
            <w:tcW w:w="3480" w:type="dxa"/>
            <w:tcBorders>
              <w:top w:val="single" w:color="AAAAAA" w:sz="8"/>
              <w:left w:val="single" w:color="AAAAAA" w:sz="8"/>
              <w:bottom w:val="single" w:color="AAAAAA" w:sz="8"/>
              <w:right w:val="single" w:color="AAAAAA" w:sz="8"/>
            </w:tcBorders>
            <w:tcMar>
              <w:top w:w="80" w:type="dxa"/>
              <w:left w:w="120" w:type="dxa"/>
              <w:bottom w:w="80" w:type="dxa"/>
              <w:right w:w="120" w:type="dxa"/>
            </w:tcMar>
            <w:vAlign w:val="top"/>
          </w:tcPr>
          <w:p w:rsidR="10338F85" w:rsidP="10338F85" w:rsidRDefault="10338F85" w14:paraId="54A812B0" w14:textId="64581354">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Se observa reducción del WAPE en los deciles de mayor volumen a medida que aumenta la complejidad del modelo, evidenciando que la mejora técnica se traduce en impacto económico real</w:t>
            </w:r>
          </w:p>
        </w:tc>
      </w:tr>
      <w:tr w:rsidR="10338F85" w:rsidTr="10338F85" w14:paraId="412EBF11">
        <w:trPr>
          <w:trHeight w:val="300"/>
        </w:trPr>
        <w:tc>
          <w:tcPr>
            <w:tcW w:w="240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A1D08D8" w14:textId="5FC94E73">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Estabilidad temporal</w:t>
            </w:r>
          </w:p>
        </w:tc>
        <w:tc>
          <w:tcPr>
            <w:tcW w:w="348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324375C6" w14:textId="23A72124">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El coeficiente de variación del sMAPE entre iteraciones walk-forward es inferior al 25 % para todos los modelos</w:t>
            </w:r>
          </w:p>
        </w:tc>
        <w:tc>
          <w:tcPr>
            <w:tcW w:w="3480" w:type="dxa"/>
            <w:tcBorders>
              <w:top w:val="single" w:color="AAAAAA" w:sz="8"/>
              <w:left w:val="single" w:color="AAAAAA" w:sz="8"/>
              <w:bottom w:val="single" w:color="AAAAAA" w:sz="8"/>
              <w:right w:val="single" w:color="AAAAAA" w:sz="8"/>
            </w:tcBorders>
            <w:shd w:val="clear" w:color="auto" w:fill="D6E4F0"/>
            <w:tcMar>
              <w:top w:w="80" w:type="dxa"/>
              <w:left w:w="120" w:type="dxa"/>
              <w:bottom w:w="80" w:type="dxa"/>
              <w:right w:w="120" w:type="dxa"/>
            </w:tcMar>
            <w:vAlign w:val="top"/>
          </w:tcPr>
          <w:p w:rsidR="10338F85" w:rsidP="10338F85" w:rsidRDefault="10338F85" w14:paraId="50656F09" w14:textId="50EADE20">
            <w:pPr>
              <w:bidi w:val="0"/>
              <w:spacing w:before="0" w:beforeAutospacing="off" w:after="0" w:afterAutospacing="off"/>
              <w:rPr>
                <w:rFonts w:ascii="Calibri" w:hAnsi="Calibri" w:eastAsia="Calibri" w:cs="Calibri" w:asciiTheme="minorAscii" w:hAnsiTheme="minorAscii" w:eastAsiaTheme="minorAscii" w:cstheme="minorAscii"/>
                <w:color w:val="000000" w:themeColor="text1" w:themeTint="FF" w:themeShade="FF"/>
                <w:sz w:val="24"/>
                <w:szCs w:val="24"/>
              </w:rPr>
            </w:pPr>
            <w:r w:rsidRPr="10338F85" w:rsidR="10338F85">
              <w:rPr>
                <w:rFonts w:ascii="Calibri" w:hAnsi="Calibri" w:eastAsia="Calibri" w:cs="Calibri" w:asciiTheme="minorAscii" w:hAnsiTheme="minorAscii" w:eastAsiaTheme="minorAscii" w:cstheme="minorAscii"/>
                <w:color w:val="000000" w:themeColor="text1" w:themeTint="FF" w:themeShade="FF"/>
                <w:sz w:val="24"/>
                <w:szCs w:val="24"/>
              </w:rPr>
              <w:t>Los modelos complejos no muestran deterioro significativo del desempeño en las iteraciones más recientes respecto a las anteriores, lo que indicaría sobreajuste al historial</w:t>
            </w:r>
          </w:p>
        </w:tc>
      </w:tr>
    </w:tbl>
    <w:p w:rsidR="7E474C3E" w:rsidP="10338F85" w:rsidRDefault="7E474C3E" w14:paraId="667A6885" w14:textId="7EF76C0B">
      <w:pPr>
        <w:bidi w:val="0"/>
        <w:spacing w:before="60" w:beforeAutospacing="off" w:after="200" w:afterAutospacing="off"/>
        <w:jc w:val="left"/>
        <w:rPr>
          <w:rFonts w:ascii="Calibri" w:hAnsi="Calibri" w:eastAsia="Calibri" w:cs="Calibri" w:asciiTheme="minorAscii" w:hAnsiTheme="minorAscii" w:eastAsiaTheme="minorAscii" w:cstheme="minorAscii"/>
          <w:i w:val="1"/>
          <w:iCs w:val="1"/>
          <w:color w:val="555555"/>
          <w:sz w:val="24"/>
          <w:szCs w:val="24"/>
        </w:rPr>
      </w:pPr>
      <w:r w:rsidRPr="10338F85" w:rsidR="7E474C3E">
        <w:rPr>
          <w:rFonts w:ascii="Calibri" w:hAnsi="Calibri" w:eastAsia="Calibri" w:cs="Calibri" w:asciiTheme="minorAscii" w:hAnsiTheme="minorAscii" w:eastAsiaTheme="minorAscii" w:cstheme="minorAscii"/>
          <w:i w:val="1"/>
          <w:iCs w:val="1"/>
          <w:color w:val="555555"/>
          <w:sz w:val="24"/>
          <w:szCs w:val="24"/>
        </w:rPr>
        <w:t>Fuente: elaboración propia.</w:t>
      </w:r>
    </w:p>
    <w:p w:rsidR="7E474C3E" w:rsidP="10338F85" w:rsidRDefault="7E474C3E" w14:paraId="0D6E0432" w14:textId="31B572DF">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Estos criterios no son umbrales absolutos derivados de la teoría, sino referencias operativas construidas a partir de los resultados reportados en benchmarks comparables. El valor del 14,45 % de sMAPE del SNaïve, obtenido en la fase exploratoria del experimento, sirve como ancla empírica para el resto de los umbrales. Que el MASE de los modelos complejos deba situarse por debajo de 0,90 —y no simplemente por debajo de 1,0— responde a la premisa de que la complejidad adicional solo se justifica si produce una mejora sustancial y no meramente marginal, premisa que la propia literatura de benchmarking de series temporales ha subrayado repetidamente (Makridakis et al., 2022).</w:t>
      </w:r>
    </w:p>
    <w:p w:rsidR="7E474C3E" w:rsidP="10338F85" w:rsidRDefault="7E474C3E" w14:paraId="65FED50C" w14:textId="5833D80F">
      <w:pPr>
        <w:bidi w:val="0"/>
        <w:spacing w:before="100" w:beforeAutospacing="off" w:after="140" w:afterAutospacing="off"/>
        <w:jc w:val="both"/>
        <w:rPr>
          <w:rFonts w:ascii="Calibri" w:hAnsi="Calibri" w:eastAsia="Calibri" w:cs="Calibri" w:asciiTheme="minorAscii" w:hAnsiTheme="minorAscii" w:eastAsiaTheme="minorAscii" w:cstheme="minorAscii"/>
          <w:sz w:val="24"/>
          <w:szCs w:val="24"/>
        </w:rPr>
      </w:pPr>
      <w:r w:rsidRPr="10338F85" w:rsidR="7E474C3E">
        <w:rPr>
          <w:rFonts w:ascii="Calibri" w:hAnsi="Calibri" w:eastAsia="Calibri" w:cs="Calibri" w:asciiTheme="minorAscii" w:hAnsiTheme="minorAscii" w:eastAsiaTheme="minorAscii" w:cstheme="minorAscii"/>
          <w:sz w:val="24"/>
          <w:szCs w:val="24"/>
        </w:rPr>
        <w:t>El criterio de estabilidad temporal merece una mención específica porque responde a una necesidad propia del contexto de FP&amp;A que los benchmarks convencionales rara vez abordan. En un entorno de planificación financiera, un modelo que produce estimaciones excelentes durante algunos períodos pero se deteriora significativamente en otros tiene un valor práctico limitado, porque los analistas no pueden confiar en él de forma sistemática. Un coeficiente de variación del sMAPE inferior al 25 % entre iteraciones walk-forward establece un estándar mínimo de consistencia que va más allá de la simple media del error.</w:t>
      </w:r>
    </w:p>
    <w:p w:rsidR="10338F85" w:rsidP="10338F85" w:rsidRDefault="10338F85" w14:paraId="56CB7E3E" w14:textId="20B3C45C">
      <w:pPr>
        <w:pStyle w:val="Normal"/>
        <w:suppressLineNumbers w:val="0"/>
        <w:bidi w:val="0"/>
        <w:spacing w:before="0" w:beforeAutospacing="off" w:after="160" w:afterAutospacing="off" w:line="279" w:lineRule="auto"/>
        <w:ind w:left="0" w:right="0"/>
        <w:jc w:val="left"/>
        <w:rPr>
          <w:rFonts w:ascii="Calibri" w:hAnsi="Calibri" w:eastAsia="Calibri" w:cs="Calibri" w:asciiTheme="minorAscii" w:hAnsiTheme="minorAscii" w:eastAsiaTheme="minorAscii" w:cstheme="minorAsci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D2B743"/>
    <w:rsid w:val="049F524E"/>
    <w:rsid w:val="0FB3CAB3"/>
    <w:rsid w:val="0FB3CAB3"/>
    <w:rsid w:val="10338F85"/>
    <w:rsid w:val="2D2C6CB9"/>
    <w:rsid w:val="63D2B743"/>
    <w:rsid w:val="6923655A"/>
    <w:rsid w:val="7E474C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37B36"/>
  <w15:chartTrackingRefBased/>
  <w15:docId w15:val="{2043AD54-49B7-453D-B350-0D74041D22D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10338F85"/>
    <w:rPr>
      <w:noProof w:val="0"/>
      <w:lang w:val="es-CO"/>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10338F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10338F8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10338F8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2026-05-28T05:32:04.1242300Z</dcterms:created>
  <dcterms:modified xsi:type="dcterms:W3CDTF">2026-05-30T01:55:23.9453139Z</dcterms:modified>
  <dc:creator>juan jose blanco mendoza</dc:creator>
  <lastModifiedBy>juan camilo rico ballesteros</lastModifiedBy>
</coreProperties>
</file>