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  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75A0D756" w14:textId="77777777" w:rsidR="005B3AB6" w:rsidRPr="005B3AB6" w:rsidRDefault="005B3AB6" w:rsidP="005B3AB6">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w:t>
      </w:r>
    </w:p>
    <w:p w14:paraId="3671F587" w14:textId="77777777" w:rsidR="005B3AB6" w:rsidRPr="00821D63" w:rsidRDefault="005B3AB6" w:rsidP="005B3AB6">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194CF870" w:rsidR="00336EA6" w:rsidRDefault="00821D63" w:rsidP="00821D63">
      <w:pPr>
        <w:pStyle w:val="Sinespaciado"/>
        <w:spacing w:line="276" w:lineRule="auto"/>
        <w:jc w:val="center"/>
        <w:rPr>
          <w:rFonts w:asciiTheme="minorHAnsi" w:hAnsiTheme="minorHAnsi" w:cs="Tahoma"/>
          <w:color w:val="0098CD"/>
          <w:sz w:val="52"/>
          <w:szCs w:val="28"/>
        </w:rPr>
      </w:pPr>
      <w:r>
        <w:rPr>
          <w:rFonts w:asciiTheme="majorHAnsi" w:hAnsiTheme="majorHAnsi" w:cs="Tahoma"/>
          <w:sz w:val="36"/>
          <w:szCs w:val="28"/>
        </w:rPr>
        <w:t>Máster Universitario en Inteligencia artificial</w:t>
      </w:r>
    </w:p>
    <w:p w14:paraId="7E4DEE80" w14:textId="7F92357D" w:rsidR="00821D63" w:rsidRPr="00CA0785" w:rsidRDefault="00CA0785"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Evaluación de modelos de pronóstico para la planificación financiera (FP&amp;A) mediante backtesting temporal y métricas de impacto económico</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4D3861C" w14:textId="74AC7333" w:rsidR="00CA0785" w:rsidRDefault="00CA0785" w:rsidP="006403BD">
      <w:pPr>
        <w:rPr>
          <w:lang w:eastAsia="en-US"/>
        </w:rPr>
      </w:pPr>
      <w:r>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rsidTr="18E2C908">
        <w:tc>
          <w:tcPr>
            <w:tcW w:w="3964" w:type="dxa"/>
            <w:vAlign w:val="center"/>
          </w:tcPr>
          <w:p w14:paraId="725EAB0B" w14:textId="77777777" w:rsidR="00190B84" w:rsidRPr="00EF3680" w:rsidRDefault="00190B84" w:rsidP="009C0FAB">
            <w:pPr>
              <w:pStyle w:val="Sinespaciado"/>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549" w:type="dxa"/>
            <w:vAlign w:val="center"/>
          </w:tcPr>
          <w:p w14:paraId="34D4B889" w14:textId="74A7911F" w:rsidR="00190B84" w:rsidRPr="00EF3680" w:rsidRDefault="771D0364" w:rsidP="18E2C908">
            <w:pPr>
              <w:pStyle w:val="Sinespaciado"/>
              <w:spacing w:line="276" w:lineRule="auto"/>
              <w:rPr>
                <w:rFonts w:ascii="Calibri Light" w:eastAsia="Calibri Light" w:hAnsi="Calibri Light" w:cs="Calibri Light"/>
                <w:sz w:val="24"/>
                <w:szCs w:val="24"/>
              </w:rPr>
            </w:pPr>
            <w:r>
              <w:rPr>
                <w:rFonts w:ascii="Calibri Light" w:eastAsia="Calibri Light" w:hAnsi="Calibri Light" w:cs="Calibri Light"/>
                <w:color w:val="000000" w:themeColor="text1"/>
                <w:sz w:val="24"/>
                <w:szCs w:val="24"/>
              </w:rPr>
              <w:t>Jose Manuel Machado Loaiza, Juan Camilo Rico Ballesteros, Juan José Blanco Mendoza</w:t>
            </w:r>
          </w:p>
        </w:tc>
      </w:tr>
      <w:tr w:rsidR="00190B84" w:rsidRPr="00CA0785" w14:paraId="0BAB4562" w14:textId="77777777" w:rsidTr="18E2C908">
        <w:tc>
          <w:tcPr>
            <w:tcW w:w="3964" w:type="dxa"/>
            <w:vAlign w:val="center"/>
          </w:tcPr>
          <w:p w14:paraId="3A10E123" w14:textId="77777777" w:rsidR="00190B84" w:rsidRPr="00EF3680" w:rsidRDefault="00190B84" w:rsidP="009C0FAB">
            <w:pPr>
              <w:pStyle w:val="Sinespaciado"/>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549" w:type="dxa"/>
            <w:vAlign w:val="center"/>
          </w:tcPr>
          <w:p w14:paraId="3499CF1C" w14:textId="0CED141D" w:rsidR="00190B84" w:rsidRPr="00EF3680" w:rsidRDefault="4E10E759" w:rsidP="18E2C908">
            <w:pPr>
              <w:pStyle w:val="Sinespaciado"/>
              <w:spacing w:line="276" w:lineRule="auto"/>
              <w:rPr>
                <w:rFonts w:ascii="Calibri Light" w:eastAsia="Calibri Light" w:hAnsi="Calibri Light" w:cs="Calibri Light"/>
                <w:sz w:val="24"/>
                <w:szCs w:val="24"/>
              </w:rPr>
            </w:pPr>
            <w:r>
              <w:rPr>
                <w:rFonts w:ascii="Calibri Light" w:eastAsia="Calibri Light" w:hAnsi="Calibri Light" w:cs="Calibri Light"/>
                <w:color w:val="000000" w:themeColor="text1"/>
                <w:sz w:val="24"/>
                <w:szCs w:val="24"/>
              </w:rPr>
              <w:t>Comparativa de Soluciones</w:t>
            </w:r>
          </w:p>
        </w:tc>
      </w:tr>
      <w:tr w:rsidR="00190B84" w:rsidRPr="00CA0785" w14:paraId="058F6FE6" w14:textId="77777777" w:rsidTr="18E2C908">
        <w:tc>
          <w:tcPr>
            <w:tcW w:w="3964" w:type="dxa"/>
            <w:vAlign w:val="center"/>
          </w:tcPr>
          <w:p w14:paraId="44917CC5" w14:textId="77777777" w:rsidR="00190B84" w:rsidRPr="00EF3680" w:rsidRDefault="00190B84" w:rsidP="009C0FAB">
            <w:pPr>
              <w:pStyle w:val="Sinespaciado"/>
              <w:spacing w:line="276" w:lineRule="auto"/>
              <w:rPr>
                <w:rFonts w:asciiTheme="majorHAnsi" w:hAnsiTheme="majorHAnsi" w:cs="Tahoma"/>
                <w:sz w:val="24"/>
                <w:szCs w:val="28"/>
              </w:rPr>
            </w:pPr>
            <w:r>
              <w:rPr>
                <w:rFonts w:asciiTheme="majorHAnsi" w:hAnsiTheme="majorHAnsi" w:cs="Tahoma"/>
                <w:sz w:val="24"/>
                <w:szCs w:val="28"/>
              </w:rPr>
              <w:t>Director/a:</w:t>
            </w:r>
          </w:p>
        </w:tc>
        <w:tc>
          <w:tcPr>
            <w:tcW w:w="4549" w:type="dxa"/>
            <w:vAlign w:val="center"/>
          </w:tcPr>
          <w:p w14:paraId="1C6C65F0" w14:textId="768F47BE" w:rsidR="00190B84" w:rsidRPr="00EF3680" w:rsidRDefault="6238ABF1" w:rsidP="18E2C908">
            <w:pPr>
              <w:pStyle w:val="Sinespaciado"/>
              <w:spacing w:line="276" w:lineRule="auto"/>
              <w:rPr>
                <w:rFonts w:ascii="Calibri Light" w:eastAsia="Calibri Light" w:hAnsi="Calibri Light" w:cs="Calibri Light"/>
                <w:sz w:val="24"/>
                <w:szCs w:val="24"/>
              </w:rPr>
            </w:pPr>
            <w:r>
              <w:rPr>
                <w:rFonts w:ascii="Calibri Light" w:eastAsia="Calibri Light" w:hAnsi="Calibri Light" w:cs="Calibri Light"/>
                <w:color w:val="000000" w:themeColor="text1"/>
                <w:sz w:val="24"/>
                <w:szCs w:val="24"/>
              </w:rPr>
              <w:t>Marta Maria Arguedas Lafuente</w:t>
            </w:r>
          </w:p>
        </w:tc>
      </w:tr>
      <w:tr w:rsidR="00190B84" w:rsidRPr="00CA0785" w14:paraId="71316CBD" w14:textId="77777777" w:rsidTr="18E2C908">
        <w:tc>
          <w:tcPr>
            <w:tcW w:w="3964" w:type="dxa"/>
            <w:vAlign w:val="center"/>
          </w:tcPr>
          <w:p w14:paraId="6AC47782" w14:textId="77777777" w:rsidR="00190B84" w:rsidRPr="00EF3680" w:rsidRDefault="00190B84" w:rsidP="009C0FAB">
            <w:pPr>
              <w:pStyle w:val="Sinespaciado"/>
              <w:spacing w:line="276" w:lineRule="auto"/>
              <w:rPr>
                <w:rFonts w:asciiTheme="majorHAnsi" w:hAnsiTheme="majorHAnsi" w:cs="Tahoma"/>
                <w:sz w:val="24"/>
                <w:szCs w:val="28"/>
              </w:rPr>
            </w:pPr>
            <w:r>
              <w:rPr>
                <w:rFonts w:asciiTheme="majorHAnsi" w:hAnsiTheme="majorHAnsi" w:cs="Tahoma"/>
                <w:sz w:val="24"/>
                <w:szCs w:val="28"/>
              </w:rPr>
              <w:t>Fecha:</w:t>
            </w:r>
          </w:p>
        </w:tc>
        <w:tc>
          <w:tcPr>
            <w:tcW w:w="4549" w:type="dxa"/>
            <w:vAlign w:val="center"/>
          </w:tcPr>
          <w:p w14:paraId="0E29B5D5" w14:textId="77777777" w:rsidR="00190B84" w:rsidRPr="00EF3680" w:rsidRDefault="00190B84" w:rsidP="009C0FAB">
            <w:pPr>
              <w:pStyle w:val="Sinespaciado"/>
              <w:spacing w:line="276" w:lineRule="auto"/>
              <w:rPr>
                <w:rFonts w:asciiTheme="majorHAnsi" w:hAnsiTheme="majorHAnsi" w:cs="Tahoma"/>
                <w:sz w:val="24"/>
                <w:szCs w:val="28"/>
              </w:rPr>
            </w:pPr>
          </w:p>
        </w:tc>
      </w:tr>
    </w:tbl>
    <w:p w14:paraId="4F7BA5B3" w14:textId="77777777" w:rsidR="00CA0785" w:rsidRDefault="00CA0785" w:rsidP="006403BD">
      <w:pPr>
        <w:rPr>
          <w:lang w:eastAsia="en-US"/>
        </w:rPr>
      </w:pPr>
    </w:p>
    <w:p w14:paraId="5A1FFC3E" w14:textId="7FC13AA7" w:rsidR="008544B8" w:rsidRDefault="008544B8" w:rsidP="006403BD">
      <w:pPr>
        <w:pStyle w:val="Ttulondices"/>
      </w:pPr>
      <w:r>
        <w:rPr>
          <w:szCs w:val="22"/>
        </w:rPr>
        <w:br w:type="page"/>
      </w:r>
      <w:r>
        <w:lastRenderedPageBreak/>
        <w:t xml:space="preserve">Resumen </w:t>
      </w:r>
    </w:p>
    <w:p w14:paraId="06BDDD3B" w14:textId="77777777" w:rsidR="005A1CF6" w:rsidRPr="0097635A" w:rsidRDefault="005A1CF6" w:rsidP="005A1CF6">
      <w:pPr>
        <w:rPr>
          <w:lang w:eastAsia="en-US"/>
        </w:rPr>
      </w:pPr>
      <w:r>
        <w:rPr>
          <w:lang w:eastAsia="en-US"/>
        </w:rP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14:paraId="4B17D3E7" w14:textId="3CDCC9DF" w:rsidR="00DB67DA" w:rsidRDefault="005A1CF6" w:rsidP="005A1CF6">
      <w:pPr>
        <w:rPr>
          <w:lang w:eastAsia="en-US"/>
        </w:rPr>
      </w:pPr>
      <w:r>
        <w:rPr>
          <w:lang w:eastAsia="en-US"/>
        </w:rPr>
        <w:t>El presente trabajo propone una evaluación comparativa de distintas familias de modelos de pronóstico aplicados a series temporales financieras mensuales, empleando un protocolo de backtesting temporal con ventanas de validación móviles (walk-forward) como esquema de evaluación. Se implementará un pipeline modular y reproducible en Python que integra métodos estadísticos clásicos de referencia, modelos de suavizamiento exponencial, modelos autorregresivos y algoritmos de aprendizaje automático basados en gradient boosting. El desempeño de cada arquitectura se cuantificará mediante métricas de error estadístico (MAPE, sMAPE, MASE) y métricas de impacto económico (WAPE, contribución al error absoluto ponderado), analizando resultados tanto a nivel agregado como desagregado por categorías contables.</w:t>
      </w:r>
    </w:p>
    <w:p w14:paraId="38D42EFE" w14:textId="77777777" w:rsidR="006E42C4" w:rsidRDefault="006E42C4" w:rsidP="005A1CF6">
      <w:pPr>
        <w:rPr>
          <w:lang w:eastAsia="en-US"/>
        </w:rPr>
      </w:pPr>
    </w:p>
    <w:p w14:paraId="6C292D97" w14:textId="05A6D4FA" w:rsidR="00DB67DA" w:rsidRPr="001C2FB3" w:rsidRDefault="00DB67DA" w:rsidP="00DB67DA">
      <w:pPr>
        <w:rPr>
          <w:lang w:eastAsia="en-US"/>
        </w:rPr>
      </w:pPr>
      <w:r>
        <w:rPr>
          <w:b/>
          <w:lang w:eastAsia="en-US"/>
        </w:rPr>
        <w:t>Palabras clave:</w:t>
      </w:r>
      <w:r>
        <w:rPr>
          <w:lang w:eastAsia="en-US"/>
        </w:rPr>
        <w:t xml:space="preserve"> </w:t>
      </w:r>
      <w:bookmarkStart w:id="0" w:name="_Hlk147741151"/>
      <w:r>
        <w:rPr>
          <w:lang w:eastAsia="en-US"/>
        </w:rPr>
        <w:t>series temporales financieras, planificación financiera (FP&amp;A), backtesting temporal, métricas de impacto económico, aprendizaje automático</w:t>
      </w:r>
      <w:bookmarkEnd w:id="0"/>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Default="00D92F3B" w:rsidP="00D92F3B">
      <w:pPr>
        <w:pStyle w:val="Ttulondices"/>
      </w:pPr>
      <w:r>
        <w:lastRenderedPageBreak/>
        <w:t>Abstract</w:t>
      </w:r>
    </w:p>
    <w:p w14:paraId="2EC983CA" w14:textId="6F6DDDE2" w:rsidR="00D92F3B" w:rsidRDefault="00BB470D" w:rsidP="00194057">
      <w:r>
        <w:t>Financial Planning and Analysis (FP&amp;A) is a central strategic function in organizations, whose effectiveness depends on the capacity to generate accurate and reliable estimates of future economic variables. Despite its criticality for month-end close processes, early detection of budget variances, and executive decision-making, the specialized literature documents that forecasting model selection in this domain is frequently conducted under heuristic or empirical criteria, without a systematic quantitative evaluation of real-world performance.</w:t>
      </w:r>
    </w:p>
    <w:p w14:paraId="70BB0001" w14:textId="77777777" w:rsidR="00000000" w:rsidRDefault="00000000">
      <w:r>
        <w:t>This work proposes a comparative evaluation of different families of forecasting models applied to monthly financial time series, using a walk-forward temporal backtesting protocol as the evaluation scheme. A modular and reproducible Python pipeline will be implemented, integrating classical statistical reference methods, exponential smoothing models, autoregressive models, and gradient boosting machine learning algorithms. The performance of each architecture will be quantified through statistical error me</w:t>
      </w:r>
      <w:r>
        <w:t>trics (MAPE, sMAPE, MASE) and economic impact metrics (WAPE, weighted absolute error contribution by accounting category), analyzing results at both aggregate and disaggregated levels.</w:t>
      </w:r>
    </w:p>
    <w:p w14:paraId="70BB0002" w14:textId="77777777" w:rsidR="00000000" w:rsidRDefault="00000000">
      <w:r>
        <w:t>The expected outcomes will enable the identification of which forecasting architectures deliver the greatest quantifiable value in FP&amp;A environments and support the proposal of a quantitative model selection framework that transcends current heuristic criteria, providing a robust methodological basis for financial decision-making in real organizational contexts.</w:t>
      </w:r>
    </w:p>
    <w:p w14:paraId="1F5119FE" w14:textId="77777777" w:rsidR="00D92F3B" w:rsidRDefault="00D92F3B" w:rsidP="00194057"/>
    <w:p w14:paraId="1530E4DA" w14:textId="144C36BA" w:rsidR="00947B4F" w:rsidRDefault="00D92F3B">
      <w:r>
        <w:rPr>
          <w:b/>
          <w:bCs/>
        </w:rPr>
        <w:t>Keywords</w:t>
      </w:r>
      <w:r>
        <w:t xml:space="preserve">: </w:t>
      </w:r>
      <w:r>
        <w:rPr>
          <w:lang w:eastAsia="en-US"/>
        </w:rPr>
        <w:t>financial time series, financial planning and analysis (FP&amp;A), temporal backtesting, economic impact metrics, machine learning</w:t>
      </w:r>
    </w:p>
    <w:p w14:paraId="0CEB3211" w14:textId="77777777" w:rsidR="00947B4F" w:rsidRDefault="00947B4F"/>
    <w:p w14:paraId="4AC61005" w14:textId="77777777" w:rsidR="00947B4F" w:rsidRDefault="00947B4F"/>
    <w:p w14:paraId="5043D940" w14:textId="35EC715F" w:rsidR="001C2FB3" w:rsidRDefault="001C2FB3">
      <w:r>
        <w:br w:type="page"/>
      </w:r>
    </w:p>
    <w:bookmarkEnd w:id="1"/>
    <w:p w14:paraId="37509664" w14:textId="52E8292E" w:rsidR="008544B8" w:rsidRDefault="007B76BF" w:rsidP="006403BD">
      <w:pPr>
        <w:pStyle w:val="Ttulondices"/>
      </w:pPr>
      <w:r>
        <w:lastRenderedPageBreak/>
        <w:t>Índice de contenidos</w:t>
      </w:r>
    </w:p>
    <w:p w14:paraId="1F6FF5CE" w14:textId="0A58D92E" w:rsidR="00233551"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160619839" w:history="1">
        <w:r>
          <w:rPr>
            <w:rStyle w:val="Hipervnculo"/>
            <w:noProof/>
          </w:rPr>
          <w:t>1.</w:t>
        </w:r>
        <w:r>
          <w:rPr>
            <w:rFonts w:eastAsiaTheme="minorEastAsia" w:cstheme="minorBidi"/>
            <w:noProof/>
            <w:kern w:val="2"/>
            <w14:ligatures w14:val="standardContextual"/>
          </w:rPr>
          <w:tab/>
        </w:r>
        <w:r>
          <w:rPr>
            <w:rStyle w:val="Hipervnculo"/>
            <w:noProof/>
          </w:rPr>
          <w:t>Introducción</w:t>
        </w:r>
        <w:r>
          <w:rPr>
            <w:noProof/>
            <w:webHidden/>
          </w:rPr>
          <w:tab/>
        </w:r>
        <w:r>
          <w:rPr>
            <w:noProof/>
            <w:webHidden/>
          </w:rPr>
          <w:fldChar w:fldCharType="begin"/>
        </w:r>
        <w:r>
          <w:rPr>
            <w:noProof/>
            <w:webHidden/>
          </w:rPr>
          <w:instrText xml:space="preserve"> PAGEREF _Toc160619839 \h </w:instrText>
        </w:r>
        <w:r>
          <w:rPr>
            <w:noProof/>
            <w:webHidden/>
          </w:rPr>
        </w:r>
        <w:r>
          <w:rPr>
            <w:noProof/>
            <w:webHidden/>
          </w:rPr>
          <w:fldChar w:fldCharType="separate"/>
        </w:r>
        <w:r>
          <w:rPr>
            <w:noProof/>
            <w:webHidden/>
          </w:rPr>
          <w:t>1</w:t>
        </w:r>
        <w:r>
          <w:rPr>
            <w:noProof/>
            <w:webHidden/>
          </w:rPr>
          <w:fldChar w:fldCharType="end"/>
        </w:r>
      </w:hyperlink>
    </w:p>
    <w:p w14:paraId="2535B059" w14:textId="34A85A71"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0" w:history="1">
        <w:r>
          <w:rPr>
            <w:rStyle w:val="Hipervnculo"/>
            <w:noProof/>
          </w:rPr>
          <w:t>1.1.</w:t>
        </w:r>
        <w:r>
          <w:rPr>
            <w:rFonts w:eastAsiaTheme="minorEastAsia" w:cstheme="minorBidi"/>
            <w:noProof/>
            <w:kern w:val="2"/>
            <w14:ligatures w14:val="standardContextual"/>
          </w:rPr>
          <w:tab/>
        </w:r>
        <w:r>
          <w:rPr>
            <w:rStyle w:val="Hipervnculo"/>
            <w:noProof/>
          </w:rPr>
          <w:t>Motivación</w:t>
        </w:r>
        <w:r>
          <w:rPr>
            <w:noProof/>
            <w:webHidden/>
          </w:rPr>
          <w:tab/>
        </w:r>
        <w:r>
          <w:rPr>
            <w:noProof/>
            <w:webHidden/>
          </w:rPr>
          <w:fldChar w:fldCharType="begin"/>
        </w:r>
        <w:r>
          <w:rPr>
            <w:noProof/>
            <w:webHidden/>
          </w:rPr>
          <w:instrText xml:space="preserve"> PAGEREF _Toc160619840 \h </w:instrText>
        </w:r>
        <w:r>
          <w:rPr>
            <w:noProof/>
            <w:webHidden/>
          </w:rPr>
        </w:r>
        <w:r>
          <w:rPr>
            <w:noProof/>
            <w:webHidden/>
          </w:rPr>
          <w:fldChar w:fldCharType="separate"/>
        </w:r>
        <w:r>
          <w:rPr>
            <w:noProof/>
            <w:webHidden/>
          </w:rPr>
          <w:t>1</w:t>
        </w:r>
        <w:r>
          <w:rPr>
            <w:noProof/>
            <w:webHidden/>
          </w:rPr>
          <w:fldChar w:fldCharType="end"/>
        </w:r>
      </w:hyperlink>
    </w:p>
    <w:p w14:paraId="17BB13A0" w14:textId="4116111B"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1" w:history="1">
        <w:r>
          <w:rPr>
            <w:rStyle w:val="Hipervnculo"/>
            <w:noProof/>
          </w:rPr>
          <w:t>1.2.</w:t>
        </w:r>
        <w:r>
          <w:rPr>
            <w:rFonts w:eastAsiaTheme="minorEastAsia" w:cstheme="minorBidi"/>
            <w:noProof/>
            <w:kern w:val="2"/>
            <w14:ligatures w14:val="standardContextual"/>
          </w:rPr>
          <w:tab/>
        </w:r>
        <w:r>
          <w:rPr>
            <w:rStyle w:val="Hipervnculo"/>
            <w:noProof/>
          </w:rPr>
          <w:t>Planteamiento del trabajo</w:t>
        </w:r>
        <w:r>
          <w:rPr>
            <w:noProof/>
            <w:webHidden/>
          </w:rPr>
          <w:tab/>
        </w:r>
        <w:r>
          <w:rPr>
            <w:noProof/>
            <w:webHidden/>
          </w:rPr>
          <w:fldChar w:fldCharType="begin"/>
        </w:r>
        <w:r>
          <w:rPr>
            <w:noProof/>
            <w:webHidden/>
          </w:rPr>
          <w:instrText xml:space="preserve"> PAGEREF _Toc160619841 \h </w:instrText>
        </w:r>
        <w:r>
          <w:rPr>
            <w:noProof/>
            <w:webHidden/>
          </w:rPr>
        </w:r>
        <w:r>
          <w:rPr>
            <w:noProof/>
            <w:webHidden/>
          </w:rPr>
          <w:fldChar w:fldCharType="separate"/>
        </w:r>
        <w:r>
          <w:rPr>
            <w:noProof/>
            <w:webHidden/>
          </w:rPr>
          <w:t>3</w:t>
        </w:r>
        <w:r>
          <w:rPr>
            <w:noProof/>
            <w:webHidden/>
          </w:rPr>
          <w:fldChar w:fldCharType="end"/>
        </w:r>
      </w:hyperlink>
    </w:p>
    <w:p w14:paraId="7EEC8F51" w14:textId="4BA1EA42"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2" w:history="1">
        <w:r>
          <w:rPr>
            <w:rStyle w:val="Hipervnculo"/>
            <w:noProof/>
          </w:rPr>
          <w:t>1.3.</w:t>
        </w:r>
        <w:r>
          <w:rPr>
            <w:rFonts w:eastAsiaTheme="minorEastAsia" w:cstheme="minorBidi"/>
            <w:noProof/>
            <w:kern w:val="2"/>
            <w14:ligatures w14:val="standardContextual"/>
          </w:rPr>
          <w:tab/>
        </w:r>
        <w:r>
          <w:rPr>
            <w:rStyle w:val="Hipervnculo"/>
            <w:noProof/>
          </w:rPr>
          <w:t>Estructura del trabajo</w:t>
        </w:r>
        <w:r>
          <w:rPr>
            <w:noProof/>
            <w:webHidden/>
          </w:rPr>
          <w:tab/>
        </w:r>
        <w:r>
          <w:rPr>
            <w:noProof/>
            <w:webHidden/>
          </w:rPr>
          <w:fldChar w:fldCharType="begin"/>
        </w:r>
        <w:r>
          <w:rPr>
            <w:noProof/>
            <w:webHidden/>
          </w:rPr>
          <w:instrText xml:space="preserve"> PAGEREF _Toc160619842 \h </w:instrText>
        </w:r>
        <w:r>
          <w:rPr>
            <w:noProof/>
            <w:webHidden/>
          </w:rPr>
        </w:r>
        <w:r>
          <w:rPr>
            <w:noProof/>
            <w:webHidden/>
          </w:rPr>
          <w:fldChar w:fldCharType="separate"/>
        </w:r>
        <w:r>
          <w:rPr>
            <w:noProof/>
            <w:webHidden/>
          </w:rPr>
          <w:t>3</w:t>
        </w:r>
        <w:r>
          <w:rPr>
            <w:noProof/>
            <w:webHidden/>
          </w:rPr>
          <w:fldChar w:fldCharType="end"/>
        </w:r>
      </w:hyperlink>
    </w:p>
    <w:p w14:paraId="544302BC" w14:textId="523B2F28" w:rsidR="00233551" w:rsidRDefault="00233551">
      <w:pPr>
        <w:pStyle w:val="TDC1"/>
        <w:tabs>
          <w:tab w:val="left" w:pos="440"/>
          <w:tab w:val="right" w:leader="dot" w:pos="9061"/>
        </w:tabs>
        <w:rPr>
          <w:rFonts w:eastAsiaTheme="minorEastAsia" w:cstheme="minorBidi"/>
          <w:noProof/>
          <w:kern w:val="2"/>
          <w14:ligatures w14:val="standardContextual"/>
        </w:rPr>
      </w:pPr>
      <w:hyperlink w:anchor="_Toc160619843" w:history="1">
        <w:r>
          <w:rPr>
            <w:rStyle w:val="Hipervnculo"/>
            <w:noProof/>
          </w:rPr>
          <w:t>2.</w:t>
        </w:r>
        <w:r>
          <w:rPr>
            <w:rFonts w:eastAsiaTheme="minorEastAsia" w:cstheme="minorBidi"/>
            <w:noProof/>
            <w:kern w:val="2"/>
            <w14:ligatures w14:val="standardContextual"/>
          </w:rPr>
          <w:tab/>
        </w:r>
        <w:r>
          <w:rPr>
            <w:rStyle w:val="Hipervnculo"/>
            <w:noProof/>
          </w:rPr>
          <w:t>Contexto y estado del arte</w:t>
        </w:r>
        <w:r>
          <w:rPr>
            <w:noProof/>
            <w:webHidden/>
          </w:rPr>
          <w:tab/>
        </w:r>
        <w:r>
          <w:rPr>
            <w:noProof/>
            <w:webHidden/>
          </w:rPr>
          <w:fldChar w:fldCharType="begin"/>
        </w:r>
        <w:r>
          <w:rPr>
            <w:noProof/>
            <w:webHidden/>
          </w:rPr>
          <w:instrText xml:space="preserve"> PAGEREF _Toc160619843 \h </w:instrText>
        </w:r>
        <w:r>
          <w:rPr>
            <w:noProof/>
            <w:webHidden/>
          </w:rPr>
        </w:r>
        <w:r>
          <w:rPr>
            <w:noProof/>
            <w:webHidden/>
          </w:rPr>
          <w:fldChar w:fldCharType="separate"/>
        </w:r>
        <w:r>
          <w:rPr>
            <w:noProof/>
            <w:webHidden/>
          </w:rPr>
          <w:t>4</w:t>
        </w:r>
        <w:r>
          <w:rPr>
            <w:noProof/>
            <w:webHidden/>
          </w:rPr>
          <w:fldChar w:fldCharType="end"/>
        </w:r>
      </w:hyperlink>
    </w:p>
    <w:p w14:paraId="29CCC289" w14:textId="14CFCB5E"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4" w:history="1">
        <w:r>
          <w:rPr>
            <w:rStyle w:val="Hipervnculo"/>
            <w:noProof/>
          </w:rPr>
          <w:t>2.1.</w:t>
        </w:r>
        <w:r>
          <w:rPr>
            <w:rFonts w:eastAsiaTheme="minorEastAsia" w:cstheme="minorBidi"/>
            <w:noProof/>
            <w:kern w:val="2"/>
            <w14:ligatures w14:val="standardContextual"/>
          </w:rPr>
          <w:tab/>
        </w:r>
        <w:r>
          <w:rPr>
            <w:rStyle w:val="Hipervnculo"/>
            <w:noProof/>
          </w:rPr>
          <w:t>Contexto del problema</w:t>
        </w:r>
        <w:r>
          <w:rPr>
            <w:noProof/>
            <w:webHidden/>
          </w:rPr>
          <w:tab/>
        </w:r>
        <w:r>
          <w:rPr>
            <w:noProof/>
            <w:webHidden/>
          </w:rPr>
          <w:fldChar w:fldCharType="begin"/>
        </w:r>
        <w:r>
          <w:rPr>
            <w:noProof/>
            <w:webHidden/>
          </w:rPr>
          <w:instrText xml:space="preserve"> PAGEREF _Toc160619844 \h </w:instrText>
        </w:r>
        <w:r>
          <w:rPr>
            <w:noProof/>
            <w:webHidden/>
          </w:rPr>
        </w:r>
        <w:r>
          <w:rPr>
            <w:noProof/>
            <w:webHidden/>
          </w:rPr>
          <w:fldChar w:fldCharType="separate"/>
        </w:r>
        <w:r>
          <w:rPr>
            <w:noProof/>
            <w:webHidden/>
          </w:rPr>
          <w:t>4</w:t>
        </w:r>
        <w:r>
          <w:rPr>
            <w:noProof/>
            <w:webHidden/>
          </w:rPr>
          <w:fldChar w:fldCharType="end"/>
        </w:r>
      </w:hyperlink>
    </w:p>
    <w:p w14:paraId="2F4FCC40" w14:textId="2BE6CAEA"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5" w:history="1">
        <w:r>
          <w:rPr>
            <w:rStyle w:val="Hipervnculo"/>
            <w:noProof/>
          </w:rPr>
          <w:t>2.2.</w:t>
        </w:r>
        <w:r>
          <w:rPr>
            <w:rFonts w:eastAsiaTheme="minorEastAsia" w:cstheme="minorBidi"/>
            <w:noProof/>
            <w:kern w:val="2"/>
            <w14:ligatures w14:val="standardContextual"/>
          </w:rPr>
          <w:tab/>
        </w:r>
        <w:r>
          <w:rPr>
            <w:rStyle w:val="Hipervnculo"/>
            <w:noProof/>
          </w:rPr>
          <w:t>Estado del arte</w:t>
        </w:r>
        <w:r>
          <w:rPr>
            <w:noProof/>
            <w:webHidden/>
          </w:rPr>
          <w:tab/>
        </w:r>
        <w:r>
          <w:rPr>
            <w:noProof/>
            <w:webHidden/>
          </w:rPr>
          <w:fldChar w:fldCharType="begin"/>
        </w:r>
        <w:r>
          <w:rPr>
            <w:noProof/>
            <w:webHidden/>
          </w:rPr>
          <w:instrText xml:space="preserve"> PAGEREF _Toc160619845 \h </w:instrText>
        </w:r>
        <w:r>
          <w:rPr>
            <w:noProof/>
            <w:webHidden/>
          </w:rPr>
        </w:r>
        <w:r>
          <w:rPr>
            <w:noProof/>
            <w:webHidden/>
          </w:rPr>
          <w:fldChar w:fldCharType="separate"/>
        </w:r>
        <w:r>
          <w:rPr>
            <w:noProof/>
            <w:webHidden/>
          </w:rPr>
          <w:t>4</w:t>
        </w:r>
        <w:r>
          <w:rPr>
            <w:noProof/>
            <w:webHidden/>
          </w:rPr>
          <w:fldChar w:fldCharType="end"/>
        </w:r>
      </w:hyperlink>
    </w:p>
    <w:p w14:paraId="235B7BDC" w14:textId="58FDA1A5"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6" w:history="1">
        <w:r>
          <w:rPr>
            <w:rStyle w:val="Hipervnculo"/>
            <w:noProof/>
          </w:rPr>
          <w:t>2.3.</w:t>
        </w:r>
        <w:r>
          <w:rPr>
            <w:rFonts w:eastAsiaTheme="minorEastAsia" w:cstheme="minorBidi"/>
            <w:noProof/>
            <w:kern w:val="2"/>
            <w14:ligatures w14:val="standardContextual"/>
          </w:rPr>
          <w:tab/>
        </w:r>
        <w:r>
          <w:rPr>
            <w:rStyle w:val="Hipervnculo"/>
            <w:noProof/>
          </w:rPr>
          <w:t>Conclusiones</w:t>
        </w:r>
        <w:r>
          <w:rPr>
            <w:noProof/>
            <w:webHidden/>
          </w:rPr>
          <w:tab/>
        </w:r>
        <w:r>
          <w:rPr>
            <w:noProof/>
            <w:webHidden/>
          </w:rPr>
          <w:fldChar w:fldCharType="begin"/>
        </w:r>
        <w:r>
          <w:rPr>
            <w:noProof/>
            <w:webHidden/>
          </w:rPr>
          <w:instrText xml:space="preserve"> PAGEREF _Toc160619846 \h </w:instrText>
        </w:r>
        <w:r>
          <w:rPr>
            <w:noProof/>
            <w:webHidden/>
          </w:rPr>
        </w:r>
        <w:r>
          <w:rPr>
            <w:noProof/>
            <w:webHidden/>
          </w:rPr>
          <w:fldChar w:fldCharType="separate"/>
        </w:r>
        <w:r>
          <w:rPr>
            <w:noProof/>
            <w:webHidden/>
          </w:rPr>
          <w:t>5</w:t>
        </w:r>
        <w:r>
          <w:rPr>
            <w:noProof/>
            <w:webHidden/>
          </w:rPr>
          <w:fldChar w:fldCharType="end"/>
        </w:r>
      </w:hyperlink>
    </w:p>
    <w:p w14:paraId="07AB5AC7" w14:textId="78BA13E5" w:rsidR="00233551" w:rsidRDefault="00233551">
      <w:pPr>
        <w:pStyle w:val="TDC1"/>
        <w:tabs>
          <w:tab w:val="left" w:pos="440"/>
          <w:tab w:val="right" w:leader="dot" w:pos="9061"/>
        </w:tabs>
        <w:rPr>
          <w:rFonts w:eastAsiaTheme="minorEastAsia" w:cstheme="minorBidi"/>
          <w:noProof/>
          <w:kern w:val="2"/>
          <w14:ligatures w14:val="standardContextual"/>
        </w:rPr>
      </w:pPr>
      <w:hyperlink w:anchor="_Toc160619847" w:history="1">
        <w:r>
          <w:rPr>
            <w:rStyle w:val="Hipervnculo"/>
            <w:noProof/>
          </w:rPr>
          <w:t>3.</w:t>
        </w:r>
        <w:r>
          <w:rPr>
            <w:rFonts w:eastAsiaTheme="minorEastAsia" w:cstheme="minorBidi"/>
            <w:noProof/>
            <w:kern w:val="2"/>
            <w14:ligatures w14:val="standardContextual"/>
          </w:rPr>
          <w:tab/>
        </w:r>
        <w:r>
          <w:rPr>
            <w:rStyle w:val="Hipervnculo"/>
            <w:noProof/>
          </w:rPr>
          <w:t>Objetivos concretos y metodología de trabajo</w:t>
        </w:r>
        <w:r>
          <w:rPr>
            <w:noProof/>
            <w:webHidden/>
          </w:rPr>
          <w:tab/>
        </w:r>
        <w:r>
          <w:rPr>
            <w:noProof/>
            <w:webHidden/>
          </w:rPr>
          <w:fldChar w:fldCharType="begin"/>
        </w:r>
        <w:r>
          <w:rPr>
            <w:noProof/>
            <w:webHidden/>
          </w:rPr>
          <w:instrText xml:space="preserve"> PAGEREF _Toc160619847 \h </w:instrText>
        </w:r>
        <w:r>
          <w:rPr>
            <w:noProof/>
            <w:webHidden/>
          </w:rPr>
        </w:r>
        <w:r>
          <w:rPr>
            <w:noProof/>
            <w:webHidden/>
          </w:rPr>
          <w:fldChar w:fldCharType="separate"/>
        </w:r>
        <w:r>
          <w:rPr>
            <w:noProof/>
            <w:webHidden/>
          </w:rPr>
          <w:t>6</w:t>
        </w:r>
        <w:r>
          <w:rPr>
            <w:noProof/>
            <w:webHidden/>
          </w:rPr>
          <w:fldChar w:fldCharType="end"/>
        </w:r>
      </w:hyperlink>
    </w:p>
    <w:p w14:paraId="53C62C14" w14:textId="7B4E11E8"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8" w:history="1">
        <w:r>
          <w:rPr>
            <w:rStyle w:val="Hipervnculo"/>
            <w:noProof/>
          </w:rPr>
          <w:t>3.1.</w:t>
        </w:r>
        <w:r>
          <w:rPr>
            <w:rFonts w:eastAsiaTheme="minorEastAsia" w:cstheme="minorBidi"/>
            <w:noProof/>
            <w:kern w:val="2"/>
            <w14:ligatures w14:val="standardContextual"/>
          </w:rPr>
          <w:tab/>
        </w:r>
        <w:r>
          <w:rPr>
            <w:rStyle w:val="Hipervnculo"/>
            <w:noProof/>
          </w:rPr>
          <w:t>Objetivo general</w:t>
        </w:r>
        <w:r>
          <w:rPr>
            <w:noProof/>
            <w:webHidden/>
          </w:rPr>
          <w:tab/>
        </w:r>
        <w:r>
          <w:rPr>
            <w:noProof/>
            <w:webHidden/>
          </w:rPr>
          <w:fldChar w:fldCharType="begin"/>
        </w:r>
        <w:r>
          <w:rPr>
            <w:noProof/>
            <w:webHidden/>
          </w:rPr>
          <w:instrText xml:space="preserve"> PAGEREF _Toc160619848 \h </w:instrText>
        </w:r>
        <w:r>
          <w:rPr>
            <w:noProof/>
            <w:webHidden/>
          </w:rPr>
        </w:r>
        <w:r>
          <w:rPr>
            <w:noProof/>
            <w:webHidden/>
          </w:rPr>
          <w:fldChar w:fldCharType="separate"/>
        </w:r>
        <w:r>
          <w:rPr>
            <w:noProof/>
            <w:webHidden/>
          </w:rPr>
          <w:t>6</w:t>
        </w:r>
        <w:r>
          <w:rPr>
            <w:noProof/>
            <w:webHidden/>
          </w:rPr>
          <w:fldChar w:fldCharType="end"/>
        </w:r>
      </w:hyperlink>
    </w:p>
    <w:p w14:paraId="7495E669" w14:textId="75610E85"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9" w:history="1">
        <w:r>
          <w:rPr>
            <w:rStyle w:val="Hipervnculo"/>
            <w:noProof/>
          </w:rPr>
          <w:t>3.2.</w:t>
        </w:r>
        <w:r>
          <w:rPr>
            <w:rFonts w:eastAsiaTheme="minorEastAsia" w:cstheme="minorBidi"/>
            <w:noProof/>
            <w:kern w:val="2"/>
            <w14:ligatures w14:val="standardContextual"/>
          </w:rPr>
          <w:tab/>
        </w:r>
        <w:r>
          <w:rPr>
            <w:rStyle w:val="Hipervnculo"/>
            <w:noProof/>
          </w:rPr>
          <w:t>Objetivos específicos</w:t>
        </w:r>
        <w:r>
          <w:rPr>
            <w:noProof/>
            <w:webHidden/>
          </w:rPr>
          <w:tab/>
        </w:r>
        <w:r>
          <w:rPr>
            <w:noProof/>
            <w:webHidden/>
          </w:rPr>
          <w:fldChar w:fldCharType="begin"/>
        </w:r>
        <w:r>
          <w:rPr>
            <w:noProof/>
            <w:webHidden/>
          </w:rPr>
          <w:instrText xml:space="preserve"> PAGEREF _Toc160619849 \h </w:instrText>
        </w:r>
        <w:r>
          <w:rPr>
            <w:noProof/>
            <w:webHidden/>
          </w:rPr>
        </w:r>
        <w:r>
          <w:rPr>
            <w:noProof/>
            <w:webHidden/>
          </w:rPr>
          <w:fldChar w:fldCharType="separate"/>
        </w:r>
        <w:r>
          <w:rPr>
            <w:noProof/>
            <w:webHidden/>
          </w:rPr>
          <w:t>7</w:t>
        </w:r>
        <w:r>
          <w:rPr>
            <w:noProof/>
            <w:webHidden/>
          </w:rPr>
          <w:fldChar w:fldCharType="end"/>
        </w:r>
      </w:hyperlink>
    </w:p>
    <w:p w14:paraId="35B5409B" w14:textId="2EEA4DD0"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50" w:history="1">
        <w:r>
          <w:rPr>
            <w:rStyle w:val="Hipervnculo"/>
            <w:noProof/>
          </w:rPr>
          <w:t>3.3.</w:t>
        </w:r>
        <w:r>
          <w:rPr>
            <w:rFonts w:eastAsiaTheme="minorEastAsia" w:cstheme="minorBidi"/>
            <w:noProof/>
            <w:kern w:val="2"/>
            <w14:ligatures w14:val="standardContextual"/>
          </w:rPr>
          <w:tab/>
        </w:r>
        <w:r>
          <w:rPr>
            <w:rStyle w:val="Hipervnculo"/>
            <w:noProof/>
          </w:rPr>
          <w:t>Metodología del trabajo</w:t>
        </w:r>
        <w:r>
          <w:rPr>
            <w:noProof/>
            <w:webHidden/>
          </w:rPr>
          <w:tab/>
        </w:r>
        <w:r>
          <w:rPr>
            <w:noProof/>
            <w:webHidden/>
          </w:rPr>
          <w:fldChar w:fldCharType="begin"/>
        </w:r>
        <w:r>
          <w:rPr>
            <w:noProof/>
            <w:webHidden/>
          </w:rPr>
          <w:instrText xml:space="preserve"> PAGEREF _Toc160619850 \h </w:instrText>
        </w:r>
        <w:r>
          <w:rPr>
            <w:noProof/>
            <w:webHidden/>
          </w:rPr>
        </w:r>
        <w:r>
          <w:rPr>
            <w:noProof/>
            <w:webHidden/>
          </w:rPr>
          <w:fldChar w:fldCharType="separate"/>
        </w:r>
        <w:r>
          <w:rPr>
            <w:noProof/>
            <w:webHidden/>
          </w:rPr>
          <w:t>8</w:t>
        </w:r>
        <w:r>
          <w:rPr>
            <w:noProof/>
            <w:webHidden/>
          </w:rPr>
          <w:fldChar w:fldCharType="end"/>
        </w:r>
      </w:hyperlink>
    </w:p>
    <w:p w14:paraId="057C5AE5" w14:textId="0A821347" w:rsidR="00233551" w:rsidRDefault="00233551">
      <w:pPr>
        <w:pStyle w:val="TDC1"/>
        <w:tabs>
          <w:tab w:val="left" w:pos="440"/>
          <w:tab w:val="right" w:leader="dot" w:pos="9061"/>
        </w:tabs>
        <w:rPr>
          <w:rFonts w:eastAsiaTheme="minorEastAsia" w:cstheme="minorBidi"/>
          <w:noProof/>
          <w:kern w:val="2"/>
          <w14:ligatures w14:val="standardContextual"/>
        </w:rPr>
      </w:pPr>
      <w:hyperlink w:anchor="_Toc160619851" w:history="1">
        <w:r>
          <w:rPr>
            <w:rStyle w:val="Hipervnculo"/>
            <w:rFonts w:asciiTheme="majorHAnsi" w:hAnsiTheme="majorHAnsi"/>
            <w:bCs/>
            <w:noProof/>
            <w:kern w:val="32"/>
          </w:rPr>
          <w:t>4.</w:t>
        </w:r>
        <w:r>
          <w:rPr>
            <w:rFonts w:eastAsiaTheme="minorEastAsia" w:cstheme="minorBidi"/>
            <w:noProof/>
            <w:kern w:val="2"/>
            <w14:ligatures w14:val="standardContextual"/>
          </w:rPr>
          <w:tab/>
        </w:r>
        <w:r>
          <w:rPr>
            <w:rStyle w:val="Hipervnculo"/>
            <w:rFonts w:asciiTheme="majorHAnsi" w:hAnsiTheme="majorHAnsi"/>
            <w:bCs/>
            <w:caps/>
            <w:noProof/>
            <w:kern w:val="32"/>
          </w:rPr>
          <w:t>D</w:t>
        </w:r>
        <w:r>
          <w:rPr>
            <w:rStyle w:val="Hipervnculo"/>
            <w:rFonts w:asciiTheme="majorHAnsi" w:hAnsiTheme="majorHAnsi"/>
            <w:bCs/>
            <w:noProof/>
            <w:kern w:val="32"/>
          </w:rPr>
          <w:t>esarrollo específico de la contribución</w:t>
        </w:r>
        <w:r>
          <w:rPr>
            <w:noProof/>
            <w:webHidden/>
          </w:rPr>
          <w:tab/>
        </w:r>
        <w:r>
          <w:rPr>
            <w:noProof/>
            <w:webHidden/>
          </w:rPr>
          <w:fldChar w:fldCharType="begin"/>
        </w:r>
        <w:r>
          <w:rPr>
            <w:noProof/>
            <w:webHidden/>
          </w:rPr>
          <w:instrText xml:space="preserve"> PAGEREF _Toc160619851 \h </w:instrText>
        </w:r>
        <w:r>
          <w:rPr>
            <w:noProof/>
            <w:webHidden/>
          </w:rPr>
        </w:r>
        <w:r>
          <w:rPr>
            <w:noProof/>
            <w:webHidden/>
          </w:rPr>
          <w:fldChar w:fldCharType="separate"/>
        </w:r>
        <w:r>
          <w:rPr>
            <w:noProof/>
            <w:webHidden/>
          </w:rPr>
          <w:t>9</w:t>
        </w:r>
        <w:r>
          <w:rPr>
            <w:noProof/>
            <w:webHidden/>
          </w:rPr>
          <w:fldChar w:fldCharType="end"/>
        </w:r>
      </w:hyperlink>
    </w:p>
    <w:p w14:paraId="0EB7BBD7" w14:textId="115FBBA9" w:rsidR="00233551" w:rsidRDefault="00233551">
      <w:pPr>
        <w:pStyle w:val="TDC1"/>
        <w:tabs>
          <w:tab w:val="left" w:pos="440"/>
          <w:tab w:val="right" w:leader="dot" w:pos="9061"/>
        </w:tabs>
        <w:rPr>
          <w:rFonts w:eastAsiaTheme="minorEastAsia" w:cstheme="minorBidi"/>
          <w:noProof/>
          <w:kern w:val="2"/>
          <w14:ligatures w14:val="standardContextual"/>
        </w:rPr>
      </w:pPr>
      <w:hyperlink w:anchor="_Toc160619852" w:history="1">
        <w:r>
          <w:rPr>
            <w:rStyle w:val="Hipervnculo"/>
            <w:noProof/>
          </w:rPr>
          <w:t>5.</w:t>
        </w:r>
        <w:r>
          <w:rPr>
            <w:rFonts w:eastAsiaTheme="minorEastAsia" w:cstheme="minorBidi"/>
            <w:noProof/>
            <w:kern w:val="2"/>
            <w14:ligatures w14:val="standardContextual"/>
          </w:rPr>
          <w:tab/>
        </w:r>
        <w:r>
          <w:rPr>
            <w:rStyle w:val="Hipervnculo"/>
            <w:noProof/>
          </w:rPr>
          <w:t>Conclusiones y trabajo futuro</w:t>
        </w:r>
        <w:r>
          <w:rPr>
            <w:noProof/>
            <w:webHidden/>
          </w:rPr>
          <w:tab/>
        </w:r>
        <w:r>
          <w:rPr>
            <w:noProof/>
            <w:webHidden/>
          </w:rPr>
          <w:fldChar w:fldCharType="begin"/>
        </w:r>
        <w:r>
          <w:rPr>
            <w:noProof/>
            <w:webHidden/>
          </w:rPr>
          <w:instrText xml:space="preserve"> PAGEREF _Toc160619852 \h </w:instrText>
        </w:r>
        <w:r>
          <w:rPr>
            <w:noProof/>
            <w:webHidden/>
          </w:rPr>
        </w:r>
        <w:r>
          <w:rPr>
            <w:noProof/>
            <w:webHidden/>
          </w:rPr>
          <w:fldChar w:fldCharType="separate"/>
        </w:r>
        <w:r>
          <w:rPr>
            <w:noProof/>
            <w:webHidden/>
          </w:rPr>
          <w:t>13</w:t>
        </w:r>
        <w:r>
          <w:rPr>
            <w:noProof/>
            <w:webHidden/>
          </w:rPr>
          <w:fldChar w:fldCharType="end"/>
        </w:r>
      </w:hyperlink>
    </w:p>
    <w:p w14:paraId="39ADE6DF" w14:textId="2BE9A6F9"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53" w:history="1">
        <w:r>
          <w:rPr>
            <w:rStyle w:val="Hipervnculo"/>
            <w:noProof/>
          </w:rPr>
          <w:t>5.1.</w:t>
        </w:r>
        <w:r>
          <w:rPr>
            <w:rFonts w:eastAsiaTheme="minorEastAsia" w:cstheme="minorBidi"/>
            <w:noProof/>
            <w:kern w:val="2"/>
            <w14:ligatures w14:val="standardContextual"/>
          </w:rPr>
          <w:tab/>
        </w:r>
        <w:r>
          <w:rPr>
            <w:rStyle w:val="Hipervnculo"/>
            <w:noProof/>
          </w:rPr>
          <w:t>Conclusiones</w:t>
        </w:r>
        <w:r>
          <w:rPr>
            <w:noProof/>
            <w:webHidden/>
          </w:rPr>
          <w:tab/>
        </w:r>
        <w:r>
          <w:rPr>
            <w:noProof/>
            <w:webHidden/>
          </w:rPr>
          <w:fldChar w:fldCharType="begin"/>
        </w:r>
        <w:r>
          <w:rPr>
            <w:noProof/>
            <w:webHidden/>
          </w:rPr>
          <w:instrText xml:space="preserve"> PAGEREF _Toc160619853 \h </w:instrText>
        </w:r>
        <w:r>
          <w:rPr>
            <w:noProof/>
            <w:webHidden/>
          </w:rPr>
        </w:r>
        <w:r>
          <w:rPr>
            <w:noProof/>
            <w:webHidden/>
          </w:rPr>
          <w:fldChar w:fldCharType="separate"/>
        </w:r>
        <w:r>
          <w:rPr>
            <w:noProof/>
            <w:webHidden/>
          </w:rPr>
          <w:t>13</w:t>
        </w:r>
        <w:r>
          <w:rPr>
            <w:noProof/>
            <w:webHidden/>
          </w:rPr>
          <w:fldChar w:fldCharType="end"/>
        </w:r>
      </w:hyperlink>
    </w:p>
    <w:p w14:paraId="5F7EC297" w14:textId="136FF062"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54" w:history="1">
        <w:r>
          <w:rPr>
            <w:rStyle w:val="Hipervnculo"/>
            <w:noProof/>
          </w:rPr>
          <w:t>5.2.</w:t>
        </w:r>
        <w:r>
          <w:rPr>
            <w:rFonts w:eastAsiaTheme="minorEastAsia" w:cstheme="minorBidi"/>
            <w:noProof/>
            <w:kern w:val="2"/>
            <w14:ligatures w14:val="standardContextual"/>
          </w:rPr>
          <w:tab/>
        </w:r>
        <w:r>
          <w:rPr>
            <w:rStyle w:val="Hipervnculo"/>
            <w:noProof/>
          </w:rPr>
          <w:t>Líneas de trabajo futuro</w:t>
        </w:r>
        <w:r>
          <w:rPr>
            <w:noProof/>
            <w:webHidden/>
          </w:rPr>
          <w:tab/>
        </w:r>
        <w:r>
          <w:rPr>
            <w:noProof/>
            <w:webHidden/>
          </w:rPr>
          <w:fldChar w:fldCharType="begin"/>
        </w:r>
        <w:r>
          <w:rPr>
            <w:noProof/>
            <w:webHidden/>
          </w:rPr>
          <w:instrText xml:space="preserve"> PAGEREF _Toc160619854 \h </w:instrText>
        </w:r>
        <w:r>
          <w:rPr>
            <w:noProof/>
            <w:webHidden/>
          </w:rPr>
        </w:r>
        <w:r>
          <w:rPr>
            <w:noProof/>
            <w:webHidden/>
          </w:rPr>
          <w:fldChar w:fldCharType="separate"/>
        </w:r>
        <w:r>
          <w:rPr>
            <w:noProof/>
            <w:webHidden/>
          </w:rPr>
          <w:t>13</w:t>
        </w:r>
        <w:r>
          <w:rPr>
            <w:noProof/>
            <w:webHidden/>
          </w:rPr>
          <w:fldChar w:fldCharType="end"/>
        </w:r>
      </w:hyperlink>
    </w:p>
    <w:p w14:paraId="1CFC02EF" w14:textId="252129C3" w:rsidR="00233551" w:rsidRDefault="00233551">
      <w:pPr>
        <w:pStyle w:val="TDC1"/>
        <w:tabs>
          <w:tab w:val="right" w:leader="dot" w:pos="9061"/>
        </w:tabs>
        <w:rPr>
          <w:rFonts w:eastAsiaTheme="minorEastAsia" w:cstheme="minorBidi"/>
          <w:noProof/>
          <w:kern w:val="2"/>
          <w14:ligatures w14:val="standardContextual"/>
        </w:rPr>
      </w:pPr>
      <w:hyperlink w:anchor="_Toc160619855" w:history="1">
        <w:r>
          <w:rPr>
            <w:rStyle w:val="Hipervnculo"/>
            <w:noProof/>
          </w:rPr>
          <w:t>Referencias bibliográficas</w:t>
        </w:r>
        <w:r>
          <w:rPr>
            <w:noProof/>
            <w:webHidden/>
          </w:rPr>
          <w:tab/>
        </w:r>
        <w:r>
          <w:rPr>
            <w:noProof/>
            <w:webHidden/>
          </w:rPr>
          <w:fldChar w:fldCharType="begin"/>
        </w:r>
        <w:r>
          <w:rPr>
            <w:noProof/>
            <w:webHidden/>
          </w:rPr>
          <w:instrText xml:space="preserve"> PAGEREF _Toc160619855 \h </w:instrText>
        </w:r>
        <w:r>
          <w:rPr>
            <w:noProof/>
            <w:webHidden/>
          </w:rPr>
        </w:r>
        <w:r>
          <w:rPr>
            <w:noProof/>
            <w:webHidden/>
          </w:rPr>
          <w:fldChar w:fldCharType="separate"/>
        </w:r>
        <w:r>
          <w:rPr>
            <w:noProof/>
            <w:webHidden/>
          </w:rPr>
          <w:t>14</w:t>
        </w:r>
        <w:r>
          <w:rPr>
            <w:noProof/>
            <w:webHidden/>
          </w:rPr>
          <w:fldChar w:fldCharType="end"/>
        </w:r>
      </w:hyperlink>
    </w:p>
    <w:p w14:paraId="0B0949C4" w14:textId="533DDC4B" w:rsidR="00233551" w:rsidRDefault="00233551">
      <w:pPr>
        <w:pStyle w:val="TDC1"/>
        <w:tabs>
          <w:tab w:val="left" w:pos="1200"/>
          <w:tab w:val="right" w:leader="dot" w:pos="9061"/>
        </w:tabs>
        <w:rPr>
          <w:rFonts w:eastAsiaTheme="minorEastAsia" w:cstheme="minorBidi"/>
          <w:noProof/>
          <w:kern w:val="2"/>
          <w14:ligatures w14:val="standardContextual"/>
        </w:rPr>
      </w:pPr>
      <w:hyperlink w:anchor="_Toc160619856" w:history="1">
        <w:r>
          <w:rPr>
            <w:rStyle w:val="Hipervnculo"/>
            <w:noProof/>
          </w:rPr>
          <w:t>Anexo A.</w:t>
        </w:r>
        <w:r>
          <w:rPr>
            <w:rFonts w:eastAsiaTheme="minorEastAsia" w:cstheme="minorBidi"/>
            <w:noProof/>
            <w:kern w:val="2"/>
            <w14:ligatures w14:val="standardContextual"/>
          </w:rPr>
          <w:tab/>
        </w:r>
        <w:r>
          <w:rPr>
            <w:rStyle w:val="Hipervnculo"/>
            <w:noProof/>
          </w:rPr>
          <w:t>Código fuente y datos analizados</w:t>
        </w:r>
        <w:r>
          <w:rPr>
            <w:noProof/>
            <w:webHidden/>
          </w:rPr>
          <w:tab/>
        </w:r>
        <w:r>
          <w:rPr>
            <w:noProof/>
            <w:webHidden/>
          </w:rPr>
          <w:fldChar w:fldCharType="begin"/>
        </w:r>
        <w:r>
          <w:rPr>
            <w:noProof/>
            <w:webHidden/>
          </w:rPr>
          <w:instrText xml:space="preserve"> PAGEREF _Toc160619856 \h </w:instrText>
        </w:r>
        <w:r>
          <w:rPr>
            <w:noProof/>
            <w:webHidden/>
          </w:rPr>
        </w:r>
        <w:r>
          <w:rPr>
            <w:noProof/>
            <w:webHidden/>
          </w:rPr>
          <w:fldChar w:fldCharType="separate"/>
        </w:r>
        <w:r>
          <w:rPr>
            <w:noProof/>
            <w:webHidden/>
          </w:rPr>
          <w:t>15</w:t>
        </w:r>
        <w:r>
          <w:rPr>
            <w:noProof/>
            <w:webHidden/>
          </w:rPr>
          <w:fldChar w:fldCharType="end"/>
        </w:r>
      </w:hyperlink>
    </w:p>
    <w:p w14:paraId="6611B0BB" w14:textId="7E5FADDB" w:rsidR="00166012" w:rsidRPr="00727AE8" w:rsidRDefault="00423E85" w:rsidP="00166012">
      <w:pPr>
        <w:pStyle w:val="Ttulondices"/>
      </w:pPr>
      <w:r>
        <w:rPr>
          <w:rFonts w:asciiTheme="minorHAnsi" w:hAnsiTheme="minorHAnsi" w:cs="Times New Roman"/>
          <w:sz w:val="22"/>
          <w:szCs w:val="24"/>
          <w:lang w:eastAsia="es-ES"/>
        </w:rPr>
        <w:fldChar w:fldCharType="end"/>
      </w:r>
      <w:r>
        <w:br w:type="page"/>
      </w:r>
      <w:r>
        <w:lastRenderedPageBreak/>
        <w:t xml:space="preserve">Índice de figuras </w:t>
      </w:r>
    </w:p>
    <w:p w14:paraId="4745205E" w14:textId="00AE7004" w:rsidR="00C20B13" w:rsidRDefault="00166012">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760" w:history="1">
        <w:r>
          <w:rPr>
            <w:rStyle w:val="Hipervnculo"/>
            <w:noProof/>
          </w:rPr>
          <w:t xml:space="preserve">Figura 1. </w:t>
        </w:r>
        <w:r>
          <w:rPr>
            <w:rStyle w:val="Hipervnculo"/>
            <w:i/>
            <w:iCs/>
            <w:noProof/>
          </w:rPr>
          <w:t>Ejemplo de figura realizada para nuestro trabajo.</w:t>
        </w:r>
        <w:r>
          <w:rPr>
            <w:noProof/>
            <w:webHidden/>
          </w:rPr>
          <w:tab/>
        </w:r>
        <w:r>
          <w:rPr>
            <w:noProof/>
            <w:webHidden/>
          </w:rPr>
          <w:fldChar w:fldCharType="begin"/>
        </w:r>
        <w:r>
          <w:rPr>
            <w:noProof/>
            <w:webHidden/>
          </w:rPr>
          <w:instrText xml:space="preserve"> PAGEREF _Toc155946760 \h </w:instrText>
        </w:r>
        <w:r>
          <w:rPr>
            <w:noProof/>
            <w:webHidden/>
          </w:rPr>
        </w:r>
        <w:r>
          <w:rPr>
            <w:noProof/>
            <w:webHidden/>
          </w:rPr>
          <w:fldChar w:fldCharType="separate"/>
        </w:r>
        <w:r>
          <w:rPr>
            <w:noProof/>
            <w:webHidden/>
          </w:rPr>
          <w:t>2</w:t>
        </w:r>
        <w:r>
          <w:rPr>
            <w:noProof/>
            <w:webHidden/>
          </w:rPr>
          <w:fldChar w:fldCharType="end"/>
        </w:r>
      </w:hyperlink>
    </w:p>
    <w:p w14:paraId="03D5A139" w14:textId="77777777" w:rsidR="00092996" w:rsidRPr="0097635A" w:rsidRDefault="00166012" w:rsidP="00092996">
      <w:pPr>
        <w:pStyle w:val="Ttulondices"/>
      </w:pPr>
      <w:r>
        <w:rPr>
          <w:highlight w:val="yellow"/>
        </w:rPr>
        <w:fldChar w:fldCharType="end"/>
      </w:r>
      <w:r>
        <w:br w:type="page"/>
      </w:r>
      <w:r>
        <w:lastRenderedPageBreak/>
        <w:t>Índice de tablas</w:t>
      </w:r>
    </w:p>
    <w:p w14:paraId="23544A1A" w14:textId="51E7AC83" w:rsidR="00327D49" w:rsidRDefault="00092996">
      <w:pPr>
        <w:pStyle w:val="Tabladeilustraciones"/>
        <w:tabs>
          <w:tab w:val="right" w:leader="dot" w:pos="9061"/>
        </w:tabs>
        <w:rPr>
          <w:rFonts w:eastAsiaTheme="minorEastAsia" w:cstheme="minorBidi"/>
          <w:noProof/>
          <w:kern w:val="2"/>
          <w14:ligatures w14:val="standardContextual"/>
        </w:rPr>
      </w:pPr>
      <w:r>
        <w:rPr>
          <w:b/>
        </w:rPr>
        <w:fldChar w:fldCharType="begin"/>
      </w:r>
      <w:r>
        <w:rPr>
          <w:b/>
        </w:rPr>
        <w:instrText xml:space="preserve"> TOC \h \z \t "Tablas;1" \c "Tabla" </w:instrText>
      </w:r>
      <w:r>
        <w:rPr>
          <w:b/>
        </w:rPr>
        <w:fldChar w:fldCharType="separate"/>
      </w:r>
      <w:hyperlink w:anchor="_Toc155949097" w:history="1">
        <w:r>
          <w:rPr>
            <w:rStyle w:val="Hipervnculo"/>
            <w:noProof/>
          </w:rPr>
          <w:t xml:space="preserve">Tabla 1. </w:t>
        </w:r>
        <w:r>
          <w:rPr>
            <w:rStyle w:val="Hipervnculo"/>
            <w:i/>
            <w:iCs/>
            <w:noProof/>
          </w:rPr>
          <w:t>Organización del trabajo en grupo.</w:t>
        </w:r>
        <w:r>
          <w:rPr>
            <w:noProof/>
            <w:webHidden/>
          </w:rPr>
          <w:tab/>
        </w:r>
        <w:r>
          <w:rPr>
            <w:noProof/>
            <w:webHidden/>
          </w:rPr>
          <w:fldChar w:fldCharType="begin"/>
        </w:r>
        <w:r>
          <w:rPr>
            <w:noProof/>
            <w:webHidden/>
          </w:rPr>
          <w:instrText xml:space="preserve"> PAGEREF _Toc155949097 \h </w:instrText>
        </w:r>
        <w:r>
          <w:rPr>
            <w:noProof/>
            <w:webHidden/>
          </w:rPr>
        </w:r>
        <w:r>
          <w:rPr>
            <w:noProof/>
            <w:webHidden/>
          </w:rPr>
          <w:fldChar w:fldCharType="separate"/>
        </w:r>
        <w:r>
          <w:rPr>
            <w:noProof/>
            <w:webHidden/>
          </w:rPr>
          <w:t>VIII</w:t>
        </w:r>
        <w:r>
          <w:rPr>
            <w:noProof/>
            <w:webHidden/>
          </w:rPr>
          <w:fldChar w:fldCharType="end"/>
        </w:r>
      </w:hyperlink>
    </w:p>
    <w:p w14:paraId="3D835524" w14:textId="73AB8662" w:rsidR="005F110C" w:rsidRDefault="00092996" w:rsidP="00092996">
      <w:pPr>
        <w:pStyle w:val="Ttulondices"/>
        <w:rPr>
          <w:rFonts w:cs="Times New Roman"/>
          <w:b/>
        </w:rPr>
      </w:pPr>
      <w:r>
        <w:rPr>
          <w:rFonts w:cs="Times New Roman"/>
          <w:b/>
        </w:rPr>
        <w:fldChar w:fldCharType="end"/>
      </w:r>
    </w:p>
    <w:p w14:paraId="03FB3451" w14:textId="77777777" w:rsidR="00CA359C" w:rsidRDefault="00CA359C" w:rsidP="00B448AD">
      <w:pPr>
        <w:pStyle w:val="Ttulondices"/>
        <w:rPr>
          <w:rFonts w:cs="Times New Roman"/>
          <w:b/>
        </w:rPr>
      </w:pPr>
    </w:p>
    <w:p w14:paraId="040F07CD" w14:textId="77777777" w:rsidR="00CA359C" w:rsidRDefault="00CA359C" w:rsidP="00B448AD">
      <w:pPr>
        <w:pStyle w:val="Ttulondices"/>
        <w:rPr>
          <w:rFonts w:cs="Times New Roman"/>
          <w:b/>
        </w:rPr>
      </w:pPr>
    </w:p>
    <w:p w14:paraId="6DA55060" w14:textId="77777777" w:rsidR="00CA359C" w:rsidRDefault="00CA359C" w:rsidP="00B448AD">
      <w:pPr>
        <w:pStyle w:val="Ttulondices"/>
        <w:rPr>
          <w:rFonts w:cs="Times New Roman"/>
          <w:b/>
        </w:rPr>
      </w:pPr>
    </w:p>
    <w:p w14:paraId="57CA156D" w14:textId="77777777" w:rsidR="00CA359C" w:rsidRDefault="00CA359C" w:rsidP="00B448AD">
      <w:pPr>
        <w:pStyle w:val="Ttulondices"/>
        <w:rPr>
          <w:rFonts w:cs="Times New Roman"/>
          <w:b/>
        </w:rPr>
      </w:pPr>
    </w:p>
    <w:p w14:paraId="13FFA8CF" w14:textId="77777777" w:rsidR="00CA359C" w:rsidRDefault="00CA359C" w:rsidP="00B448AD">
      <w:pPr>
        <w:pStyle w:val="Ttulondices"/>
        <w:rPr>
          <w:rFonts w:cs="Times New Roman"/>
          <w:b/>
        </w:rPr>
      </w:pPr>
    </w:p>
    <w:p w14:paraId="46264FF6" w14:textId="77777777" w:rsidR="00CA359C" w:rsidRDefault="00CA359C" w:rsidP="00B448AD">
      <w:pPr>
        <w:pStyle w:val="Ttulondices"/>
        <w:rPr>
          <w:rFonts w:cs="Times New Roman"/>
          <w:b/>
        </w:rPr>
      </w:pPr>
    </w:p>
    <w:p w14:paraId="2C86EFFA" w14:textId="77777777" w:rsidR="00CA359C" w:rsidRDefault="00CA359C" w:rsidP="00B448AD">
      <w:pPr>
        <w:pStyle w:val="Ttulondices"/>
        <w:rPr>
          <w:rFonts w:cs="Times New Roman"/>
          <w:b/>
        </w:rPr>
      </w:pPr>
    </w:p>
    <w:p w14:paraId="5750777B" w14:textId="77777777" w:rsidR="00CA359C" w:rsidRDefault="00CA359C" w:rsidP="00B448AD">
      <w:pPr>
        <w:pStyle w:val="Ttulondices"/>
        <w:rPr>
          <w:rFonts w:cs="Times New Roman"/>
          <w:b/>
        </w:rPr>
      </w:pPr>
    </w:p>
    <w:p w14:paraId="5D978AEA" w14:textId="77777777" w:rsidR="00CA359C" w:rsidRDefault="00CA359C" w:rsidP="00B448AD">
      <w:pPr>
        <w:pStyle w:val="Ttulondices"/>
        <w:rPr>
          <w:rFonts w:cs="Times New Roman"/>
          <w:b/>
        </w:rPr>
      </w:pPr>
    </w:p>
    <w:p w14:paraId="6BB8AC4B" w14:textId="77777777" w:rsidR="00CA359C" w:rsidRDefault="00CA359C" w:rsidP="00B448AD">
      <w:pPr>
        <w:pStyle w:val="Ttulondices"/>
        <w:rPr>
          <w:rFonts w:cs="Times New Roman"/>
          <w:b/>
        </w:rPr>
      </w:pPr>
    </w:p>
    <w:p w14:paraId="49FE0DA5" w14:textId="77777777" w:rsidR="00CA359C" w:rsidRDefault="00CA359C" w:rsidP="00B448AD">
      <w:pPr>
        <w:pStyle w:val="Ttulondices"/>
        <w:rPr>
          <w:rFonts w:cs="Times New Roman"/>
          <w:b/>
        </w:rPr>
      </w:pPr>
    </w:p>
    <w:p w14:paraId="690D2B4C" w14:textId="77777777" w:rsidR="00CA359C" w:rsidRDefault="00CA359C" w:rsidP="00B448AD">
      <w:pPr>
        <w:pStyle w:val="Ttulondices"/>
        <w:rPr>
          <w:rFonts w:cs="Times New Roman"/>
          <w:b/>
        </w:rPr>
      </w:pPr>
    </w:p>
    <w:p w14:paraId="582675E2" w14:textId="77777777" w:rsidR="00CA359C" w:rsidRDefault="00CA359C" w:rsidP="00B448AD">
      <w:pPr>
        <w:pStyle w:val="Ttulondices"/>
        <w:rPr>
          <w:rFonts w:cs="Times New Roman"/>
          <w:b/>
        </w:rPr>
      </w:pPr>
    </w:p>
    <w:p w14:paraId="5278899B" w14:textId="77777777" w:rsidR="00CA359C" w:rsidRDefault="00CA359C" w:rsidP="00B448AD">
      <w:pPr>
        <w:pStyle w:val="Ttulondices"/>
        <w:rPr>
          <w:rFonts w:cs="Times New Roman"/>
          <w:b/>
        </w:rPr>
      </w:pPr>
    </w:p>
    <w:p w14:paraId="492A5EBE" w14:textId="77777777" w:rsidR="00CA359C" w:rsidRDefault="00CA359C" w:rsidP="00B448AD">
      <w:pPr>
        <w:pStyle w:val="Ttulondices"/>
        <w:rPr>
          <w:rFonts w:cs="Times New Roman"/>
          <w:b/>
        </w:rPr>
      </w:pPr>
    </w:p>
    <w:p w14:paraId="5A8ECE45" w14:textId="77777777" w:rsidR="00196EF2" w:rsidRPr="0097635A" w:rsidRDefault="00196EF2" w:rsidP="00196EF2">
      <w:pPr>
        <w:pStyle w:val="Ttulondices"/>
      </w:pPr>
      <w:r>
        <w:lastRenderedPageBreak/>
        <w:t>Organización del trabajo en grupo</w:t>
      </w:r>
    </w:p>
    <w:p w14:paraId="338C23FB" w14:textId="77777777" w:rsidR="00196EF2" w:rsidRDefault="00196EF2" w:rsidP="00196EF2">
      <w:r>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14:paraId="224D11C7" w14:textId="77777777" w:rsidR="00196EF2" w:rsidRPr="0097635A" w:rsidRDefault="00196EF2" w:rsidP="00196EF2">
      <w:pPr>
        <w:pStyle w:val="Ttulondices"/>
        <w:rPr>
          <w:sz w:val="28"/>
          <w:szCs w:val="28"/>
        </w:rPr>
      </w:pPr>
      <w:r>
        <w:rPr>
          <w:sz w:val="28"/>
          <w:szCs w:val="28"/>
        </w:rPr>
        <w:t>Partes que aborda el TFE</w:t>
      </w:r>
    </w:p>
    <w:p w14:paraId="01AFBE9D" w14:textId="77777777" w:rsidR="00196EF2" w:rsidRPr="0097635A" w:rsidRDefault="00196EF2" w:rsidP="00196EF2">
      <w:r>
        <w:t>Cada estudiante debe abordar elementos/partes que, individualmente, podrían suponer un TFE por sí mismas.</w:t>
      </w:r>
    </w:p>
    <w:p w14:paraId="4E302CCE" w14:textId="77777777" w:rsidR="00196EF2" w:rsidRDefault="00196EF2" w:rsidP="00196EF2">
      <w:pPr>
        <w:pStyle w:val="Ttulondices"/>
        <w:rPr>
          <w:sz w:val="28"/>
          <w:szCs w:val="28"/>
        </w:rPr>
      </w:pPr>
    </w:p>
    <w:p w14:paraId="2933B547" w14:textId="77777777" w:rsidR="00196EF2" w:rsidRPr="0097635A" w:rsidRDefault="00196EF2" w:rsidP="00196EF2">
      <w:pPr>
        <w:pStyle w:val="Ttulondices"/>
        <w:rPr>
          <w:sz w:val="28"/>
          <w:szCs w:val="28"/>
        </w:rPr>
      </w:pPr>
      <w:r>
        <w:rPr>
          <w:sz w:val="28"/>
          <w:szCs w:val="28"/>
        </w:rPr>
        <w:t>Distribución y estructura de la memoria</w:t>
      </w:r>
    </w:p>
    <w:p w14:paraId="3FBE387D" w14:textId="77777777" w:rsidR="00196EF2" w:rsidRPr="0097635A" w:rsidRDefault="00196EF2" w:rsidP="00196EF2">
      <w:r>
        <w:t>Complete la siguiente tabla que debe reflejar el reparto de trabajo a la hora de confeccionar la memoria del TFE. Se aporta un ejemplo para facilitar su elaboración.</w:t>
      </w:r>
    </w:p>
    <w:p w14:paraId="7F89E920" w14:textId="77777777" w:rsidR="00196EF2" w:rsidRPr="0097635A" w:rsidRDefault="00196EF2" w:rsidP="00196EF2">
      <w:pPr>
        <w:pStyle w:val="Descripcin"/>
        <w:keepNext/>
        <w:rPr>
          <w:sz w:val="24"/>
          <w:szCs w:val="24"/>
        </w:rPr>
      </w:pPr>
      <w:bookmarkStart w:id="2" w:name="_Toc155949097"/>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Pr>
          <w:noProof/>
          <w:sz w:val="24"/>
          <w:szCs w:val="24"/>
        </w:rPr>
        <w:t>1</w:t>
      </w:r>
      <w:r>
        <w:rPr>
          <w:sz w:val="24"/>
          <w:szCs w:val="24"/>
        </w:rPr>
        <w:fldChar w:fldCharType="end"/>
      </w:r>
      <w:r>
        <w:t xml:space="preserve">. </w:t>
      </w:r>
      <w:r>
        <w:rPr>
          <w:b w:val="0"/>
          <w:bCs w:val="0"/>
          <w:i/>
          <w:iCs/>
          <w:sz w:val="24"/>
          <w:szCs w:val="24"/>
        </w:rPr>
        <w:t>Organización del trabajo en grupo.</w:t>
      </w:r>
      <w:bookmarkEnd w:id="2"/>
    </w:p>
    <w:tbl>
      <w:tblPr>
        <w:tblStyle w:val="Tablaconcuadrcula4-nfasis1"/>
        <w:tblW w:w="0" w:type="auto"/>
        <w:tblLook w:val="04A0" w:firstRow="1" w:lastRow="0" w:firstColumn="1" w:lastColumn="0" w:noHBand="0" w:noVBand="1"/>
      </w:tblPr>
      <w:tblGrid>
        <w:gridCol w:w="5807"/>
        <w:gridCol w:w="3254"/>
      </w:tblGrid>
      <w:tr w:rsidR="00196EF2" w:rsidRPr="0097635A" w14:paraId="5EE75436" w14:textId="77777777" w:rsidTr="004A7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68C16908" w14:textId="77777777" w:rsidR="00196EF2" w:rsidRPr="0097635A" w:rsidRDefault="00196EF2" w:rsidP="004A767C">
            <w:pPr>
              <w:pStyle w:val="Tabladeilustraciones"/>
              <w:tabs>
                <w:tab w:val="right" w:leader="dot" w:pos="9061"/>
              </w:tabs>
              <w:jc w:val="center"/>
              <w:rPr>
                <w:bCs w:val="0"/>
                <w:sz w:val="20"/>
                <w:szCs w:val="20"/>
              </w:rPr>
            </w:pPr>
            <w:r>
              <w:rPr>
                <w:bCs w:val="0"/>
                <w:sz w:val="20"/>
                <w:szCs w:val="20"/>
              </w:rPr>
              <w:t>Organización del trabajo en grupo - Desarrollo de la memoria</w:t>
            </w:r>
          </w:p>
        </w:tc>
      </w:tr>
      <w:tr w:rsidR="00196EF2" w:rsidRPr="0097635A" w14:paraId="311B89AE"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6B968291" w14:textId="77777777" w:rsidR="00196EF2" w:rsidRPr="0097635A" w:rsidRDefault="00196EF2" w:rsidP="004A767C">
            <w:pPr>
              <w:pStyle w:val="Tabladeilustraciones"/>
              <w:tabs>
                <w:tab w:val="right" w:leader="dot" w:pos="9061"/>
              </w:tabs>
              <w:jc w:val="center"/>
              <w:rPr>
                <w:bCs w:val="0"/>
                <w:sz w:val="20"/>
                <w:szCs w:val="20"/>
              </w:rPr>
            </w:pPr>
            <w:r>
              <w:rPr>
                <w:bCs w:val="0"/>
                <w:sz w:val="20"/>
                <w:szCs w:val="20"/>
              </w:rPr>
              <w:t>Apartado de la memoria</w:t>
            </w:r>
          </w:p>
        </w:tc>
        <w:tc>
          <w:tcPr>
            <w:tcW w:w="3254" w:type="dxa"/>
            <w:vAlign w:val="center"/>
          </w:tcPr>
          <w:p w14:paraId="081BE48C" w14:textId="77777777" w:rsidR="00196EF2" w:rsidRPr="0097635A" w:rsidRDefault="00196EF2" w:rsidP="004A767C">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196EF2" w:rsidRPr="0097635A" w14:paraId="01A2AB28"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87DA23E"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Introducción</w:t>
            </w:r>
          </w:p>
        </w:tc>
        <w:tc>
          <w:tcPr>
            <w:tcW w:w="3254" w:type="dxa"/>
            <w:vAlign w:val="center"/>
          </w:tcPr>
          <w:p w14:paraId="56C5E9AE" w14:textId="3249B363" w:rsidR="00196EF2" w:rsidRPr="0097635A" w:rsidRDefault="00AA200A"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Juan Camilo Rico Ballesteros</w:t>
            </w:r>
          </w:p>
        </w:tc>
      </w:tr>
      <w:tr w:rsidR="00196EF2" w:rsidRPr="0097635A" w14:paraId="2E083D3F"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88CC312"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Contexto y estado del arte</w:t>
            </w:r>
          </w:p>
        </w:tc>
        <w:tc>
          <w:tcPr>
            <w:tcW w:w="3254" w:type="dxa"/>
            <w:vAlign w:val="center"/>
          </w:tcPr>
          <w:p w14:paraId="2B246375"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Alumno 1, Alumno 2 y Alumno 3</w:t>
            </w:r>
          </w:p>
        </w:tc>
      </w:tr>
      <w:tr w:rsidR="00196EF2" w:rsidRPr="0097635A" w14:paraId="30E23E48"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D226724"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Objetivos y metodología de trabajo</w:t>
            </w:r>
          </w:p>
        </w:tc>
        <w:tc>
          <w:tcPr>
            <w:tcW w:w="3254" w:type="dxa"/>
            <w:vAlign w:val="center"/>
          </w:tcPr>
          <w:p w14:paraId="7BDB8DF7"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Jose Manuel Machado L.</w:t>
            </w:r>
          </w:p>
        </w:tc>
      </w:tr>
      <w:tr w:rsidR="00196EF2" w:rsidRPr="0097635A" w14:paraId="20D431D0"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27C2C3E"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Marco normativo</w:t>
            </w:r>
          </w:p>
        </w:tc>
        <w:tc>
          <w:tcPr>
            <w:tcW w:w="3254" w:type="dxa"/>
            <w:vAlign w:val="center"/>
          </w:tcPr>
          <w:p w14:paraId="20BA296E"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Alumno 1, Alumno 2 y Alumno 3</w:t>
            </w:r>
          </w:p>
        </w:tc>
      </w:tr>
      <w:tr w:rsidR="00196EF2" w:rsidRPr="0097635A" w14:paraId="4F73F145"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787ABAB"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14:paraId="7AD16DF3"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Alumno 1</w:t>
            </w:r>
          </w:p>
        </w:tc>
      </w:tr>
      <w:tr w:rsidR="00196EF2" w:rsidRPr="0097635A" w14:paraId="071A43BC"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DFBD6C8"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14:paraId="316B9405"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Alumno 2</w:t>
            </w:r>
          </w:p>
        </w:tc>
      </w:tr>
      <w:tr w:rsidR="00196EF2" w:rsidRPr="0097635A" w14:paraId="2F2FE9BA"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15A53474"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14:paraId="7DD9FF9B"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Alumno 3</w:t>
            </w:r>
          </w:p>
        </w:tc>
      </w:tr>
      <w:tr w:rsidR="00196EF2" w:rsidRPr="0097635A" w14:paraId="5447CBFD"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C264754"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Conclusiones</w:t>
            </w:r>
          </w:p>
        </w:tc>
        <w:tc>
          <w:tcPr>
            <w:tcW w:w="3254" w:type="dxa"/>
            <w:vAlign w:val="center"/>
          </w:tcPr>
          <w:p w14:paraId="438B5BA6"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Alumno 1, Alumno 2 y Alumno 3</w:t>
            </w:r>
          </w:p>
        </w:tc>
      </w:tr>
    </w:tbl>
    <w:p w14:paraId="61699D32" w14:textId="77777777" w:rsidR="00196EF2" w:rsidRPr="0097635A" w:rsidRDefault="00196EF2" w:rsidP="00196EF2">
      <w:pPr>
        <w:pStyle w:val="Piedefoto-tabla"/>
        <w:rPr>
          <w:lang w:val="es-ES"/>
        </w:rPr>
      </w:pPr>
      <w:r>
        <w:rPr>
          <w:lang w:val="es-ES"/>
        </w:rPr>
        <w:t xml:space="preserve">Fuente: Elaboración propia. </w:t>
      </w:r>
    </w:p>
    <w:p w14:paraId="2BC083C5" w14:textId="77777777" w:rsidR="00196EF2" w:rsidRPr="0097635A" w:rsidRDefault="00196EF2" w:rsidP="00196EF2">
      <w:pPr>
        <w:rPr>
          <w:bCs/>
        </w:rPr>
      </w:pPr>
    </w:p>
    <w:p w14:paraId="138BF908" w14:textId="77777777" w:rsidR="00196EF2" w:rsidRPr="0097635A" w:rsidRDefault="00196EF2" w:rsidP="00196EF2">
      <w:pPr>
        <w:rPr>
          <w:bCs/>
        </w:rPr>
      </w:pPr>
      <w:r>
        <w:rPr>
          <w:rFonts w:asciiTheme="majorHAnsi" w:hAnsiTheme="majorHAnsi" w:cs="Arial"/>
          <w:color w:val="0098CD"/>
          <w:sz w:val="28"/>
          <w:szCs w:val="28"/>
          <w:lang w:eastAsia="en-US"/>
        </w:rPr>
        <w:t>Objetivo del TFE desde el punto de vista de la adquisición de conocimientos</w:t>
      </w:r>
    </w:p>
    <w:p w14:paraId="7BDD60EC" w14:textId="77777777" w:rsidR="00196EF2" w:rsidRPr="0097635A" w:rsidRDefault="00196EF2" w:rsidP="00196EF2">
      <w:pPr>
        <w:rPr>
          <w:bCs/>
        </w:rPr>
      </w:pPr>
      <w:r>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14:paraId="76DC46B3" w14:textId="77777777" w:rsidR="00196EF2" w:rsidRDefault="00196EF2" w:rsidP="00196EF2">
      <w:pPr>
        <w:pStyle w:val="Ttulondices"/>
        <w:rPr>
          <w:sz w:val="28"/>
          <w:szCs w:val="28"/>
        </w:rPr>
      </w:pPr>
    </w:p>
    <w:p w14:paraId="7B9142BA" w14:textId="77777777" w:rsidR="00196EF2" w:rsidRPr="0097635A" w:rsidRDefault="00196EF2" w:rsidP="00196EF2">
      <w:pPr>
        <w:pStyle w:val="Ttulondices"/>
        <w:rPr>
          <w:sz w:val="28"/>
          <w:szCs w:val="28"/>
        </w:rPr>
      </w:pPr>
      <w:r>
        <w:rPr>
          <w:sz w:val="28"/>
          <w:szCs w:val="28"/>
        </w:rPr>
        <w:t>Mecanismos de coordinación empleados</w:t>
      </w:r>
    </w:p>
    <w:p w14:paraId="079178F6" w14:textId="77777777" w:rsidR="00196EF2" w:rsidRDefault="00196EF2" w:rsidP="00196EF2">
      <w:r>
        <w:t>El equipo ha establecido mecanismos de coordinación orientados a garantizar la coherencia del trabajo, la distribución equitativa de responsabilidades y la continuidad del avance en las distintas fases del proyecto. La comunicación se apoya en herramientas digitales de mensajería y videoconferencia que permiten el seguimiento periódico del estado de cada componente del trabajo. Se realizan reuniones de sincronización con frecuencia acordada entre los integrantes, en las que se revisan los avances individuales, se resuelven bloqueos y se ajusta la planificación cuando las circunstancias lo requieren. Para la gestión y versionado de los artefactos del proyecto, el equipo emplea un repositorio de control de versiones compartido que centraliza el código desarrollado y la documentación técnica generada a lo largo del proceso. El control de cambios en la memoria del TFE se gestiona mediante revisión entre integrantes antes de incorporar nuevas secciones al documento principal. La división de responsabilidades queda formalizada en la tabla de organización del trabajo en grupo incluida en este apartado, consensuada entre los integrantes y validada por la directora del trabajo.</w:t>
      </w:r>
    </w:p>
    <w:p w14:paraId="53256911" w14:textId="77777777" w:rsidR="00196EF2" w:rsidRDefault="00196EF2" w:rsidP="00B448AD">
      <w:pPr>
        <w:pStyle w:val="Ttulondices"/>
        <w:rPr>
          <w:rFonts w:cs="Times New Roman"/>
          <w:b/>
        </w:rPr>
      </w:pPr>
    </w:p>
    <w:p w14:paraId="79AA87B9" w14:textId="77777777" w:rsidR="00196EF2" w:rsidRDefault="00196EF2" w:rsidP="00B448AD">
      <w:pPr>
        <w:pStyle w:val="Ttulondices"/>
        <w:rPr>
          <w:rFonts w:cs="Times New Roman"/>
          <w:b/>
        </w:rPr>
      </w:pPr>
    </w:p>
    <w:p w14:paraId="1595F64F" w14:textId="70B05F49" w:rsidR="00196EF2" w:rsidRDefault="00196EF2" w:rsidP="00B448AD">
      <w:pPr>
        <w:pStyle w:val="Ttulondices"/>
        <w:sectPr w:rsidR="00196EF2" w:rsidSect="004871CB">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2CDA3F21" w14:textId="19B9E6E8" w:rsidR="003F4680" w:rsidRPr="003D5130" w:rsidRDefault="00C308C3" w:rsidP="003F4680">
      <w:pPr>
        <w:pStyle w:val="Ttulo1"/>
        <w:rPr>
          <w:caps w:val="0"/>
        </w:rPr>
      </w:pPr>
      <w:bookmarkStart w:id="3" w:name="_Toc147741191"/>
      <w:bookmarkStart w:id="4" w:name="_Toc160619839"/>
      <w:bookmarkStart w:id="5" w:name="_Toc437515557"/>
      <w:bookmarkStart w:id="6" w:name="_Toc14106979"/>
      <w:r>
        <w:rPr>
          <w:caps w:val="0"/>
        </w:rPr>
        <w:lastRenderedPageBreak/>
        <w:t>Introducción</w:t>
      </w:r>
      <w:bookmarkEnd w:id="3"/>
      <w:bookmarkEnd w:id="4"/>
      <w:r>
        <w:rPr>
          <w:caps w:val="0"/>
        </w:rPr>
        <w:t xml:space="preserve"> </w:t>
      </w:r>
    </w:p>
    <w:p w14:paraId="2071DC12" w14:textId="055F74C6" w:rsidR="0018389B" w:rsidRPr="0018389B" w:rsidRDefault="0018389B" w:rsidP="0018389B">
      <w:pPr>
        <w:rPr>
          <w:lang w:val="es-CO"/>
        </w:rPr>
      </w:pPr>
      <w:r>
        <w:rPr>
          <w:lang w:val="es-CO"/>
        </w:rPr>
        <w:t>En el dinámico entorno empresarial actual, la Planificación y Análisis Financiero (FP&amp;A) se ha consolidado como una de las estructuras centrales de las organizaciones, donde la capacidad de anticipar valores futuros es crítica para el cierre contable y la toma de decisiones estratégicas. Sin embargo, la literatura señala que muchas organizaciones siguen dependiendo de criterios heurísticos o métodos tradicionales que no logran capturar la complejidad y no-estacionariedad de las series temporales financieras (Hyndman &amp; Athanasopoulos, 2021).</w:t>
      </w:r>
    </w:p>
    <w:p w14:paraId="66B4E873" w14:textId="24608478" w:rsidR="0018389B" w:rsidRPr="0018389B" w:rsidRDefault="0018389B" w:rsidP="0018389B">
      <w:pPr>
        <w:rPr>
          <w:lang w:val="es-CO"/>
        </w:rPr>
      </w:pPr>
      <w:r>
        <w:rPr>
          <w:lang w:val="es-CO"/>
        </w:rPr>
        <w:t>Este trabajo aborda dicha problemática mediante la construcción de un pipeline de pronóstico modular que permite comparar arquitecturas clásicas con modelos de Deep Learning de última generación, como el Temporal Fusion Transformer (TFT), el cual ha demostrado superioridad en capturar dependencias temporales heterogéneas (Lim &amp; Zohren, 2021). El rigor de esta evaluación se fundamenta en un esquema de backtesting temporal de ventanas móviles (walk-forward), metodología esencial para garantizar la validez del modelo en condiciones reales y evitar la fuga de información o data leakage en contextos financieros (Bergmeir &amp; Hyndman, 2012).</w:t>
      </w:r>
    </w:p>
    <w:p w14:paraId="70E21A1D" w14:textId="6298A00B" w:rsidR="00C308C3" w:rsidRDefault="0018389B" w:rsidP="00C308C3">
      <w:pPr>
        <w:rPr>
          <w:lang w:val="es-CO"/>
        </w:rPr>
      </w:pPr>
      <w:r>
        <w:rPr>
          <w:lang w:val="es-CO"/>
        </w:rPr>
        <w:t>El núcleo diferencial de esta investigación reside en la transición de la métrica estadística hacia el valor de negocio. Mientras que la precisión técnica se mide mediante errores tradicionales, este estudio introduce métricas de impacto económico como el WAPE y la contribución al error absoluto, permitiendo demostrar que una mejora en la exactitud del pronóstico se traduce directamente en una reducción de la varianza presupuestaria y una optimización del capital circulante (Armstrong, 2001).</w:t>
      </w:r>
    </w:p>
    <w:p w14:paraId="131A858D" w14:textId="77777777" w:rsidR="00FB0235" w:rsidRPr="00FB0235" w:rsidRDefault="00FB0235" w:rsidP="00C308C3">
      <w:pPr>
        <w:rPr>
          <w:lang w:val="es-CO"/>
        </w:rPr>
      </w:pPr>
    </w:p>
    <w:p w14:paraId="68426AE6" w14:textId="153720BD" w:rsidR="0060653F" w:rsidRPr="003D5130" w:rsidRDefault="00FA7395" w:rsidP="0060653F">
      <w:pPr>
        <w:pStyle w:val="Ttulo2"/>
        <w:rPr>
          <w:caps w:val="0"/>
        </w:rPr>
      </w:pPr>
      <w:bookmarkStart w:id="7" w:name="_Toc160619840"/>
      <w:r>
        <w:rPr>
          <w:caps w:val="0"/>
        </w:rPr>
        <w:t>Motivación</w:t>
      </w:r>
      <w:bookmarkEnd w:id="7"/>
    </w:p>
    <w:p w14:paraId="5729F7E1" w14:textId="787E9B29" w:rsidR="0060653F" w:rsidRDefault="0060653F" w:rsidP="0060653F">
      <w:r>
        <w:t xml:space="preserve">La Planificación y Análisis Financiero (FP&amp;A) constituye el pilar estratégico sobre el cual las organizaciones fundamentan su resiliencia operativa y su solvencia a largo plazo. En este contexto, el problema central que aborda el presente trabajo es la ineficiencia y falta de rigor sistémico en la generación de pronósticos financieros, una actividad que, a pesar de su </w:t>
      </w:r>
      <w:r>
        <w:lastRenderedPageBreak/>
        <w:t>criticidad, sigue operando bajo metodologías que no han evolucionado al ritmo de la complejidad del mercado actual.</w:t>
      </w:r>
    </w:p>
    <w:p w14:paraId="00176250" w14:textId="77777777" w:rsidR="0060653F" w:rsidRDefault="0060653F" w:rsidP="004E255D">
      <w:pPr>
        <w:pStyle w:val="Ttulo3"/>
      </w:pPr>
      <w:r>
        <w:t>El Problema: La brecha entre la complejidad del dato y la simplicidad del método</w:t>
      </w:r>
    </w:p>
    <w:p w14:paraId="0DD8E560" w14:textId="3A0F84FB" w:rsidR="0060653F" w:rsidRDefault="0060653F" w:rsidP="0060653F">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14:paraId="54E442EE" w14:textId="77777777" w:rsidR="0060653F" w:rsidRDefault="0060653F" w:rsidP="004E255D">
      <w:pPr>
        <w:pStyle w:val="Ttulo3"/>
      </w:pPr>
      <w:r>
        <w:t>Las Causas: Rigidez técnica y falta de validación científica</w:t>
      </w:r>
    </w:p>
    <w:p w14:paraId="19A99CFE" w14:textId="0FF09D99" w:rsidR="0060653F" w:rsidRDefault="00E50F71" w:rsidP="00E50F71">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&amp; Athanasopoulos, 2021). En segundo lugar, la implementación de Inteligencia Artificial en este dominio se ha visto frenada por la ausencia de protocolos de evaluación adecuados. La aplicación de validaciones cruzadas estándar (K-Fold) en series de tiempo es una causa recurrente de resultados espurios debido a la fuga de información (data leakage), lo que genera una falsa confianza en modelos que luego fracasan en el entorno real (Bergmeir &amp; Hyndman, 2012).</w:t>
      </w:r>
    </w:p>
    <w:p w14:paraId="1AF87466" w14:textId="77777777" w:rsidR="0060653F" w:rsidRDefault="0060653F" w:rsidP="004E255D">
      <w:pPr>
        <w:pStyle w:val="Ttulo3"/>
      </w:pPr>
      <w:r>
        <w:t>Relevancia Científica y Educativa: Hacia un marco de evaluación integral</w:t>
      </w:r>
    </w:p>
    <w:p w14:paraId="42B2AFD8" w14:textId="63324983" w:rsidR="0060653F" w:rsidRDefault="0060653F" w:rsidP="0060653F">
      <w:r>
        <w:t>La importancia de este estudio para la comunidad científica y educativa radica en la propuesta de un marco de evaluación que trasciende el error estadístico puro. Desde el punto de vista de la investigación en IA, es imperativo establecer benchmarks claros que comparen modelos globales y arquitecturas de atención, como el Temporal Fusion Transformer (TFT), bajo condiciones de backtesting temporal riguroso (Lim &amp; Zohren, 2021). Este trabajo aporta un modelo pedagógico de cómo la ciencia de datos debe integrarse en la gestión empresarial: no como un fin en sí mismo, sino como una herramienta de optimización de recursos.</w:t>
      </w:r>
    </w:p>
    <w:p w14:paraId="5C10D6EC" w14:textId="77777777" w:rsidR="0060653F" w:rsidRDefault="0060653F" w:rsidP="004E255D">
      <w:pPr>
        <w:pStyle w:val="Ttulo3"/>
      </w:pPr>
      <w:r>
        <w:lastRenderedPageBreak/>
        <w:t>Relevancia Socioeconómica: El impacto en el capital real</w:t>
      </w:r>
    </w:p>
    <w:p w14:paraId="7D6D5F64" w14:textId="5069F94C" w:rsidR="009B2037" w:rsidRDefault="0060653F" w:rsidP="00C308C3">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de la IA se traduce en una reducción de la varianza presupuestaria, este trabajo justifica la transición hacia una Planificación Financiera Predictiva, proporcionando una base cuantitativa para la toma de decisiones que afecta directamente la competitividad y estabilidad de la organización (Armstrong, 2001).</w:t>
      </w:r>
    </w:p>
    <w:p w14:paraId="63A11745" w14:textId="77777777" w:rsidR="00A73552" w:rsidRPr="00A73552" w:rsidRDefault="00A73552" w:rsidP="00C308C3"/>
    <w:p w14:paraId="7A58398A" w14:textId="7E2DACE9" w:rsidR="003F4680" w:rsidRPr="003D5130" w:rsidRDefault="00C308C3" w:rsidP="003F4680">
      <w:pPr>
        <w:pStyle w:val="Ttulo2"/>
        <w:rPr>
          <w:caps w:val="0"/>
        </w:rPr>
      </w:pPr>
      <w:bookmarkStart w:id="8" w:name="_Toc147741193"/>
      <w:bookmarkStart w:id="9" w:name="_Toc160619841"/>
      <w:r>
        <w:rPr>
          <w:caps w:val="0"/>
        </w:rPr>
        <w:t xml:space="preserve">Planteamiento del </w:t>
      </w:r>
      <w:bookmarkEnd w:id="8"/>
      <w:r>
        <w:rPr>
          <w:caps w:val="0"/>
        </w:rPr>
        <w:t>trabajo</w:t>
      </w:r>
      <w:bookmarkEnd w:id="9"/>
    </w:p>
    <w:p w14:paraId="325665E6" w14:textId="13AB4F47" w:rsidR="00515C19" w:rsidRDefault="00515C19" w:rsidP="00515C19">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han evolucionado hacia estructuras de alta dimensionalidad, influenciadas por una "policrisis" de variables macroeconómicas volátiles y comportamientos no lineales, las organizaciones siguen operando bajo un "reduccionismo metodológico" basado en modelos lineales y heurísticas manuales (Makridakis et al., 2025; Hyndman &amp; Athanasopoulos, 2021).</w:t>
      </w:r>
    </w:p>
    <w:p w14:paraId="378FEDDD" w14:textId="77777777" w:rsidR="00515C19" w:rsidRDefault="00515C19" w:rsidP="0065622B">
      <w:pPr>
        <w:pStyle w:val="Ttulo3"/>
      </w:pPr>
      <w:r>
        <w:t>La Simplicidad como Riesgo Operativo</w:t>
      </w:r>
    </w:p>
    <w:p w14:paraId="02A8A923" w14:textId="093F39CF" w:rsidR="00515C19" w:rsidRDefault="00515C19" w:rsidP="00515C19">
      <w:r>
        <w:t>Esta brecha no es un problema meramente académico; es un fallo de Ingeniería de Software y de IA. La utilización de métodos simples (como promedios móviles o suavizamiento exponencial básico) ante datos complejos genera un fenómeno de sub-ajuste (underfitting) sistémico. Estos modelos son incapaces de "ver" las dependencias de largo plazo o los cambios estructurales, lo que deriva en proyecciones que, aunque parecen estables, son fundamentalmente erróneas cuando el mercado cambia de fase (Garza et al., 2025; Liu &amp; Zhao, 2026).</w:t>
      </w:r>
    </w:p>
    <w:p w14:paraId="1B6D5804" w14:textId="77777777" w:rsidR="00515C19" w:rsidRDefault="00515C19" w:rsidP="00153E3E">
      <w:pPr>
        <w:pStyle w:val="Ttulo3"/>
      </w:pPr>
      <w:r>
        <w:t>¿Cómo se propone solucionar esta brecha?</w:t>
      </w:r>
    </w:p>
    <w:p w14:paraId="57A2D325" w14:textId="7C474E5B" w:rsidR="00515C19" w:rsidRDefault="00515C19" w:rsidP="00515C19">
      <w:r>
        <w:t xml:space="preserve">La intervención propuesta no busca la complejidad por la complejidad, sino la adecuación del método a la naturaleza del dato. Se plantea el desarrollo de un pipeline de software avanzado </w:t>
      </w:r>
      <w:r>
        <w:lastRenderedPageBreak/>
        <w:t>que actúe como un laboratorio de pruebas para determinar qué nivel de inteligencia algorítmica es necesario para cerrar dicha brecha.</w:t>
      </w:r>
    </w:p>
    <w:p w14:paraId="20A77232" w14:textId="66D7A50E" w:rsidR="00515C19" w:rsidRDefault="00515C19" w:rsidP="00515C19">
      <w:r>
        <w:t>El trabajo propone un "torneo de arquitecturas" categorizado por su capacidad de procesar complejidad:</w:t>
      </w:r>
    </w:p>
    <w:p w14:paraId="4593E403" w14:textId="69B1B1FA" w:rsidR="00515C19" w:rsidRDefault="00515C19" w:rsidP="00515C19">
      <w:pPr>
        <w:pStyle w:val="Prrafodelista"/>
        <w:numPr>
          <w:ilvl w:val="0"/>
          <w:numId w:val="45"/>
        </w:numPr>
      </w:pPr>
      <w:r>
        <w:t>Nivel de Inteligencia Lineal (Baseline): Representado por métodos estadísticos clásicos. Su función es demostrar el límite de lo que la simplicidad puede alcanzar (Hyndman &amp; Athanasopoulos, 2021).</w:t>
      </w:r>
    </w:p>
    <w:p w14:paraId="5449416F" w14:textId="0B9FC0D0" w:rsidR="00515C19" w:rsidRDefault="00515C19" w:rsidP="00515C19">
      <w:pPr>
        <w:pStyle w:val="Prrafodelista"/>
        <w:numPr>
          <w:ilvl w:val="0"/>
          <w:numId w:val="45"/>
        </w:numPr>
      </w:pPr>
      <w:r>
        <w:t>Nivel de Inteligencia No-Lineal (Machine Learning): Implementación de algoritmos de gradiente impulsado (LightGBM/XGBoost), diseñados para capturar interacciones entre variables que escapan a la estadística simple (Januschowski et al., 2020).</w:t>
      </w:r>
    </w:p>
    <w:p w14:paraId="18F3F7F0" w14:textId="5602C470" w:rsidR="00515C19" w:rsidRDefault="00515C19" w:rsidP="00515C19">
      <w:pPr>
        <w:pStyle w:val="Prrafodelista"/>
        <w:numPr>
          <w:ilvl w:val="0"/>
          <w:numId w:val="45"/>
        </w:numPr>
      </w:pPr>
      <w:r>
        <w:t>Nivel de Inteligencia Profunda (Deep Learning): Uso de redes de atención como el Temporal Fusion Transformer (TFT), capaces de procesar múltiples horizontes temporales y variables exógenas de forma simultánea (Lim et al., 2021).</w:t>
      </w:r>
    </w:p>
    <w:p w14:paraId="353F822D" w14:textId="3C156384" w:rsidR="00515C19" w:rsidRDefault="00515C19" w:rsidP="00515C19">
      <w:pPr>
        <w:pStyle w:val="Prrafodelista"/>
        <w:numPr>
          <w:ilvl w:val="0"/>
          <w:numId w:val="45"/>
        </w:numPr>
      </w:pPr>
      <w:r>
        <w:t>Nivel de Inteligencia Fundacional (State-of-the-Art 2025-2026): Evaluación de modelos como FinCast (2025) o Kronos (2026), que aplican el aprendizaje por transferencia (transfer learning) a las finanzas para capturar patrones globales que un modelo entrenado solo con datos locales jamás detectaría (Zhang et al., 2025; Liu &amp; Zhao, 2026).</w:t>
      </w:r>
    </w:p>
    <w:p w14:paraId="6071D927" w14:textId="77777777" w:rsidR="00515C19" w:rsidRDefault="00515C19" w:rsidP="00AC479D">
      <w:pPr>
        <w:pStyle w:val="Ttulo3"/>
      </w:pPr>
      <w:r>
        <w:t>Finalidad: Del Software a la Eficiencia Económica</w:t>
      </w:r>
    </w:p>
    <w:p w14:paraId="73D99746" w14:textId="346466D8" w:rsidR="003833C7" w:rsidRDefault="00515C19" w:rsidP="00515C19">
      <w:r>
        <w:t xml:space="preserve">La finalidad del TFM es demostrar, mediante un protocolo de backtesting temporal estrictamente controlado, que cerrar la brecha técnica es una inversión de alta rentabilidad. La arquitectura de software desarrollada no solo comparará errores técnicos como el </w:t>
      </w:r>
      <w:r>
        <w:rPr>
          <w:b/>
          <w:bCs/>
        </w:rPr>
        <w:t>sMAPE (Symmetric Mean Absolute Percentage Error, para precisión relativa) y el MASE (Mean Absolute Scaled Error, para comparativa entre escalas),</w:t>
      </w:r>
      <w:r>
        <w:t xml:space="preserve"> sino que integrará una lógica de Value-Oriented Forecasting. El objetivo final es cuantificar cómo la transición de un método "simple" a uno "complejo y validado" reduce la varianza presupuestaria y optimiza el capital circulante, transformando la precisión de la IA en un activo financiero tangible para la organización (Garza et al., 2025).</w:t>
      </w:r>
    </w:p>
    <w:p w14:paraId="1122DF2B" w14:textId="6D237679" w:rsidR="00672C35" w:rsidRPr="00B97947" w:rsidRDefault="00672C35" w:rsidP="00C01B40"/>
    <w:p w14:paraId="10A58D1F" w14:textId="77777777" w:rsidR="00C308C3" w:rsidRPr="000D09A0" w:rsidRDefault="00C308C3" w:rsidP="00C308C3">
      <w:pPr>
        <w:pStyle w:val="Ttulo2"/>
      </w:pPr>
      <w:bookmarkStart w:id="10" w:name="_Toc147741194"/>
      <w:bookmarkStart w:id="11" w:name="_Toc160619842"/>
      <w:r>
        <w:rPr>
          <w:caps w:val="0"/>
        </w:rPr>
        <w:lastRenderedPageBreak/>
        <w:t>Estructura del trabajo</w:t>
      </w:r>
      <w:bookmarkEnd w:id="10"/>
      <w:bookmarkEnd w:id="11"/>
    </w:p>
    <w:p w14:paraId="19D9162B" w14:textId="6843044C" w:rsidR="00D2380B" w:rsidRPr="00D2380B" w:rsidRDefault="00D2380B" w:rsidP="00D2380B">
      <w:pPr>
        <w:rPr>
          <w:lang w:val="es-CO"/>
        </w:rPr>
      </w:pPr>
      <w:bookmarkStart w:id="12" w:name="_Toc160619855"/>
      <w:bookmarkEnd w:id="5"/>
      <w:bookmarkEnd w:id="6"/>
      <w:r>
        <w:rPr>
          <w:lang w:val="es-CO"/>
        </w:rPr>
        <w:t>Para abordar de manera sistémica el problema de la brecha metodológica en el entorno de FP&amp;A, la presente memoria se ha estructurado en cinco capítulos fundamentales y un anexo técnico, organizados de la siguiente forma:</w:t>
      </w:r>
    </w:p>
    <w:p w14:paraId="442A7CA2" w14:textId="7EDB21F7" w:rsidR="00D2380B" w:rsidRPr="00D2380B" w:rsidRDefault="00D2380B" w:rsidP="00D2380B">
      <w:pPr>
        <w:pStyle w:val="Prrafodelista"/>
        <w:numPr>
          <w:ilvl w:val="0"/>
          <w:numId w:val="46"/>
        </w:numPr>
        <w:rPr>
          <w:lang w:val="es-CO"/>
        </w:rPr>
      </w:pPr>
      <w:r>
        <w:rPr>
          <w:lang w:val="es-CO"/>
        </w:rPr>
        <w:t>Capítulo 2. Contexto y estado del arte: En esta sección se analiza el entorno operativo del FP&amp;A y el impacto crítico del error de previsión en la liquidez corporativa. Asimismo, se realiza una revisión bibliográfica de la evolución de las "inteligencias" aplicadas a series temporales, desde la econometría clásica hasta los Modelos Fundacionales de 2025 y 2026 (FinCast, Kronos), identificando las limitaciones de los métodos actuales ante datos de alta complejidad (Petropoulos et al., 2022; Liu &amp; Zhao, 2026).</w:t>
      </w:r>
    </w:p>
    <w:p w14:paraId="5FDB6486" w14:textId="7AF225F0" w:rsidR="00D2380B" w:rsidRPr="00D2380B" w:rsidRDefault="00D2380B" w:rsidP="00D2380B">
      <w:pPr>
        <w:pStyle w:val="Prrafodelista"/>
        <w:numPr>
          <w:ilvl w:val="0"/>
          <w:numId w:val="46"/>
        </w:numPr>
        <w:rPr>
          <w:lang w:val="es-CO"/>
        </w:rPr>
      </w:pPr>
      <w:r>
        <w:rPr>
          <w:lang w:val="es-CO"/>
        </w:rPr>
        <w:t>Capítulo 3. Objetivos concretos y metodología de trabajo: Aquí se definen las metas generales y específicas de la investigación. Se detalla la metodología de Ingeniería de Software e IA adoptada, con especial énfasis en el diseño del motor de backtesting temporal (Walk-forward validation). Este protocolo es esencial para garantizar que la comparación de modelos sea robusta y libre de fuga de información (data leakage) (Bergmeir &amp; Hyndman, 2012; Makridakis et al., 2025).</w:t>
      </w:r>
    </w:p>
    <w:p w14:paraId="35BF491B" w14:textId="745C65FB" w:rsidR="00D2380B" w:rsidRPr="00D2380B" w:rsidRDefault="00D2380B" w:rsidP="00D2380B">
      <w:pPr>
        <w:pStyle w:val="Prrafodelista"/>
        <w:numPr>
          <w:ilvl w:val="0"/>
          <w:numId w:val="46"/>
        </w:numPr>
        <w:rPr>
          <w:lang w:val="es-CO"/>
        </w:rPr>
      </w:pPr>
      <w:r>
        <w:rPr>
          <w:lang w:val="es-CO"/>
        </w:rPr>
        <w:t>Capítulo 4. Desarrollo específico de la contribución: Representa el núcleo práctico y experimental del TFM. Se describe la implementación del pipeline de MLOps desarrollado, que abarca desde la ingesta y preprocesamiento de datos contables hasta la ejecución del "torneo de arquitecturas" entre tres niveles de modelos. Finalmente, se presenta la capa lógica de traducción de resultados, donde el error técnico se convierte en métricas de impacto económico (ahorro de capital y reducción de varianza) (Garza et al., 2025).</w:t>
      </w:r>
    </w:p>
    <w:p w14:paraId="51CFDCD8" w14:textId="673B98A8" w:rsidR="00D2380B" w:rsidRPr="00D2380B" w:rsidRDefault="00D2380B" w:rsidP="00D2380B">
      <w:pPr>
        <w:pStyle w:val="Prrafodelista"/>
        <w:numPr>
          <w:ilvl w:val="0"/>
          <w:numId w:val="46"/>
        </w:numPr>
        <w:rPr>
          <w:lang w:val="es-CO"/>
        </w:rPr>
      </w:pPr>
      <w:r>
        <w:rPr>
          <w:lang w:val="es-CO"/>
        </w:rPr>
        <w:t>Capítulo 5. Conclusiones y trabajo futuro: Se sintetizan los hallazgos del estudio, evaluando si el incremento en la complejidad algorítmica justifica el esfuerzo de ingeniería en términos de rentabilidad financiera. Se proponen, además, líneas de investigación futuras orientadas hacia la Planificación Financiera Autónoma y el uso de agentes de IA para la explicación de variaciones presupuestarias.</w:t>
      </w:r>
    </w:p>
    <w:p w14:paraId="01581E8F" w14:textId="41698437" w:rsidR="00D2380B" w:rsidRPr="00D2380B" w:rsidRDefault="00D2380B" w:rsidP="00D2380B">
      <w:pPr>
        <w:pStyle w:val="Prrafodelista"/>
        <w:numPr>
          <w:ilvl w:val="0"/>
          <w:numId w:val="46"/>
        </w:numPr>
        <w:rPr>
          <w:lang w:val="es-CO"/>
        </w:rPr>
      </w:pPr>
      <w:r>
        <w:rPr>
          <w:lang w:val="es-CO"/>
        </w:rPr>
        <w:lastRenderedPageBreak/>
        <w:t>Anexo A. Código fuente y datos analizados: Incluye el acceso al repositorio con el código modular desarrollado en Python y la documentación técnica necesaria para la reproducibilidad de los experimentos realizados.</w:t>
      </w:r>
    </w:p>
    <w:p w14:paraId="470D95B7" w14:textId="6F356C86" w:rsidR="00D2380B" w:rsidRPr="00D2380B" w:rsidRDefault="00D2380B">
      <w:pPr>
        <w:spacing w:before="0" w:after="0" w:line="240" w:lineRule="auto"/>
        <w:jc w:val="left"/>
        <w:rPr>
          <w:rFonts w:asciiTheme="majorHAnsi" w:hAnsiTheme="majorHAnsi"/>
          <w:bCs/>
          <w:color w:val="0098CD"/>
          <w:kern w:val="32"/>
          <w:sz w:val="36"/>
          <w:szCs w:val="32"/>
          <w:lang w:val="es-CO"/>
        </w:rPr>
      </w:pPr>
      <w:r>
        <w:rPr>
          <w:rFonts w:asciiTheme="majorHAnsi" w:hAnsiTheme="majorHAnsi"/>
          <w:bCs/>
          <w:color w:val="0098CD"/>
          <w:kern w:val="32"/>
          <w:sz w:val="36"/>
          <w:szCs w:val="32"/>
          <w:lang w:val="es-CO"/>
        </w:rPr>
        <w:br w:type="page"/>
      </w:r>
    </w:p>
    <w:p w14:paraId="6F914D82" w14:textId="77777777" w:rsidR="00D2380B" w:rsidRPr="00D2380B" w:rsidRDefault="00D2380B">
      <w:pPr>
        <w:spacing w:before="0" w:after="0" w:line="240" w:lineRule="auto"/>
        <w:jc w:val="left"/>
        <w:rPr>
          <w:rFonts w:asciiTheme="majorHAnsi" w:hAnsiTheme="majorHAnsi"/>
          <w:bCs/>
          <w:color w:val="0098CD"/>
          <w:kern w:val="32"/>
          <w:sz w:val="36"/>
          <w:szCs w:val="32"/>
          <w:lang w:val="es-CO"/>
        </w:rPr>
      </w:pPr>
    </w:p>
    <w:p w14:paraId="70AA0001" w14:textId="77777777" w:rsidR="00000000" w:rsidRDefault="00000000">
      <w:pPr>
        <w:pStyle w:val="Ttulo1"/>
        <w:rPr>
          <w:caps w:val="0"/>
        </w:rPr>
      </w:pPr>
      <w:r>
        <w:rPr>
          <w:caps w:val="0"/>
        </w:rPr>
        <w:t>Objetivos concretos y metodología de trabajo</w:t>
      </w:r>
    </w:p>
    <w:p w14:paraId="70AA0002" w14:textId="77777777" w:rsidR="00000000" w:rsidRDefault="00000000">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14:paraId="70AA0003" w14:textId="77777777" w:rsidR="00000000" w:rsidRDefault="00000000">
      <w:pPr>
        <w:pStyle w:val="Ttulo2"/>
        <w:rPr>
          <w:caps w:val="0"/>
        </w:rPr>
      </w:pPr>
      <w:r>
        <w:rPr>
          <w:caps w:val="0"/>
        </w:rPr>
        <w:t>Objetivo general</w:t>
      </w:r>
    </w:p>
    <w:p w14:paraId="70AA0004" w14:textId="77777777" w:rsidR="00000000" w:rsidRDefault="00000000">
      <w:r>
        <w:t>Comparar el desempeño de distintas familias de modelos de pronóstico, que comprenden métodos estadísticos clásicos, algoritmos de aprendizaje automático y arquitecturas de deep learning seleccionadas, aplicados a series temporales financieras mensuales en contextos de FP&amp;A, mediante un protocolo de backtesting temporal con ventanas de validación móviles y un conjunto de métricas de error estadístico y de impacto económico, con el propósito de proponer un framework cuantitativo de selección de modelos que or</w:t>
      </w:r>
      <w:r>
        <w:t>iente la práctica organizacional en entornos de planificación financiera, en el tiempo requerido por el programa académico.</w:t>
      </w:r>
    </w:p>
    <w:p w14:paraId="70AA0005" w14:textId="77777777" w:rsidR="00000000" w:rsidRDefault="00000000">
      <w:r>
        <w:t xml:space="preserve">Este objetivo satisface los criterios SMART enunciados por Doran (1981): es </w:t>
      </w:r>
      <w:r>
        <w:rPr>
          <w:b/>
          <w:bCs/>
        </w:rPr>
        <w:t>específico</w:t>
      </w:r>
      <w:r>
        <w:t xml:space="preserve">, al delimitar con precisión qué se compara, en qué contexto y bajo qué condiciones metodológicas; es </w:t>
      </w:r>
      <w:r>
        <w:rPr>
          <w:b/>
          <w:bCs/>
        </w:rPr>
        <w:t>medible</w:t>
      </w:r>
      <w:r>
        <w:t xml:space="preserve">, dado que el éxito se evalúa a través de métricas cuantitativas de precisión estadística e impacto económico; es </w:t>
      </w:r>
      <w:r>
        <w:rPr>
          <w:b/>
          <w:bCs/>
        </w:rPr>
        <w:t>alcanzable</w:t>
      </w:r>
      <w:r>
        <w:t xml:space="preserve">, pues el alcance de modelos y el diseño del pipeline se ajustan a los recursos y al tiempo disponibles; es </w:t>
      </w:r>
      <w:r>
        <w:rPr>
          <w:b/>
          <w:bCs/>
        </w:rPr>
        <w:t>relevante</w:t>
      </w:r>
      <w:r>
        <w:t xml:space="preserve">, por cuanto responde a una necesidad documentada en la práctica de FP&amp;A (Armstrong, 2001; Hyndman &amp; Athanasopoulos, 2021); y está </w:t>
      </w:r>
      <w:r>
        <w:rPr>
          <w:b/>
          <w:bCs/>
        </w:rPr>
        <w:t>acotado temporalmente</w:t>
      </w:r>
      <w:r>
        <w:t>, dentro del marco de entrega establecido por el programa.</w:t>
      </w:r>
    </w:p>
    <w:p w14:paraId="70AA0006" w14:textId="77777777" w:rsidR="00000000" w:rsidRDefault="00000000">
      <w:pPr>
        <w:pStyle w:val="Ttulo2"/>
        <w:rPr>
          <w:caps w:val="0"/>
        </w:rPr>
      </w:pPr>
      <w:r>
        <w:rPr>
          <w:caps w:val="0"/>
        </w:rPr>
        <w:t>Objetivos específicos</w:t>
      </w:r>
    </w:p>
    <w:p w14:paraId="70AA0007" w14:textId="77777777" w:rsidR="00000000" w:rsidRDefault="00000000">
      <w:r>
        <w:t>Los siguientes objetivos específicos desglosan el objetivo general en tareas delimitadas y verificables, organizadas según la secuencia de ejecución del trabajo:</w:t>
      </w:r>
    </w:p>
    <w:p w14:paraId="70AA0008" w14:textId="77777777" w:rsidR="00000000" w:rsidRDefault="00000000">
      <w:pPr>
        <w:pStyle w:val="Prrafodelista"/>
        <w:numPr>
          <w:ilvl w:val="0"/>
          <w:numId w:val="47"/>
        </w:numPr>
      </w:pPr>
      <w:r>
        <w:rPr>
          <w:b/>
          <w:bCs/>
        </w:rPr>
        <w:t xml:space="preserve">OE1. Revisar </w:t>
      </w:r>
      <w:r>
        <w:t xml:space="preserve">y sintetizar el estado del arte sobre métodos de pronóstico aplicados a series temporales financieras, mediante una búsqueda sistemática en bases de datos </w:t>
      </w:r>
      <w:r>
        <w:lastRenderedPageBreak/>
        <w:t>académicas indexadas. La revisión identificará las arquitecturas más representativas, sus fundamentos teóricos, sus limitaciones documentadas y las métricas de evaluación más pertinentes para entornos de FP&amp;A.</w:t>
      </w:r>
    </w:p>
    <w:p w14:paraId="70AA0009" w14:textId="77777777" w:rsidR="00000000" w:rsidRDefault="00000000">
      <w:pPr>
        <w:pStyle w:val="Prrafodelista"/>
        <w:numPr>
          <w:ilvl w:val="0"/>
          <w:numId w:val="47"/>
        </w:numPr>
      </w:pPr>
      <w:r>
        <w:rPr>
          <w:b/>
          <w:bCs/>
        </w:rPr>
        <w:t xml:space="preserve">OE2. Diseñar e implementar </w:t>
      </w:r>
      <w:r>
        <w:t>un pipeline de pronóstico modular, reproducible y documentado en Python, que integre al menos tres familias de modelos: métodos de referencia estadística (Naive estacional, media histórica), modelos de suavizamiento exponencial y series temporales clásicas (ETS, Holt-Winters, SARIMA), y algoritmos de aprendizaje automático basados en gradient boosting (LightGBM).</w:t>
      </w:r>
    </w:p>
    <w:p w14:paraId="70AA000A" w14:textId="77777777" w:rsidR="00000000" w:rsidRDefault="00000000">
      <w:pPr>
        <w:pStyle w:val="Prrafodelista"/>
        <w:numPr>
          <w:ilvl w:val="0"/>
          <w:numId w:val="47"/>
        </w:numPr>
      </w:pPr>
      <w:r>
        <w:rPr>
          <w:b/>
          <w:bCs/>
        </w:rPr>
        <w:t xml:space="preserve">OE3. Aplicar </w:t>
      </w:r>
      <w:r>
        <w:t>un protocolo de backtesting temporal con ventanas de validación móviles (walk-forward) que garantice la separación estricta entre los conjuntos de entrenamiento y evaluación en cada iteración, preservando el orden causal de las observaciones y eliminando el riesgo de fuga de información entre particiones (Bergmeir &amp; Hyndman, 2012).</w:t>
      </w:r>
    </w:p>
    <w:p w14:paraId="70AA000B" w14:textId="77777777" w:rsidR="00000000" w:rsidRDefault="00000000">
      <w:pPr>
        <w:pStyle w:val="Prrafodelista"/>
        <w:numPr>
          <w:ilvl w:val="0"/>
          <w:numId w:val="47"/>
        </w:numPr>
      </w:pPr>
      <w:r>
        <w:rPr>
          <w:b/>
          <w:bCs/>
        </w:rPr>
        <w:t xml:space="preserve">OE4. Evaluar y comparar </w:t>
      </w:r>
      <w:r>
        <w:t>el desempeño de los modelos mediante métricas de error estadístico, concretamente MAPE, sMAPE y MASE, y métricas de impacto económico, concretamente WAPE y contribución al error absoluto ponderado por categoría contable, analizando el desempeño tanto a nivel global como desagregado por líneas de cuenta relevantes para FP&amp;A.</w:t>
      </w:r>
    </w:p>
    <w:p w14:paraId="70AA000C" w14:textId="77777777" w:rsidR="00000000" w:rsidRDefault="00000000">
      <w:pPr>
        <w:pStyle w:val="Prrafodelista"/>
        <w:numPr>
          <w:ilvl w:val="0"/>
          <w:numId w:val="47"/>
        </w:numPr>
      </w:pPr>
      <w:r>
        <w:rPr>
          <w:b/>
          <w:bCs/>
        </w:rPr>
        <w:t xml:space="preserve">OE5. Establecer </w:t>
      </w:r>
      <w:r>
        <w:t>un framework cuantitativo de selección de modelos, fundamentado en los umbrales de error estadístico e impacto económico derivados de los resultados del backtesting, que proporcione criterios objetivos y reproducibles para la elección del modelo de pronóstico más adecuado según el tipo de serie financiera y el contexto organizacional de FP&amp;A.</w:t>
      </w:r>
    </w:p>
    <w:p w14:paraId="70AA000D" w14:textId="77777777" w:rsidR="00000000" w:rsidRDefault="00000000">
      <w:pPr>
        <w:pStyle w:val="Ttulo2"/>
        <w:rPr>
          <w:caps w:val="0"/>
        </w:rPr>
      </w:pPr>
      <w:r>
        <w:rPr>
          <w:caps w:val="0"/>
        </w:rPr>
        <w:t>Metodología del trabajo</w:t>
      </w:r>
    </w:p>
    <w:p w14:paraId="70AA000E" w14:textId="77777777" w:rsidR="00000000" w:rsidRDefault="00000000">
      <w:r>
        <w:t>Para alcanzar los objetivos definidos, el trabajo se articula en seis fases con solapamiento controlado entre ellas. La distribución temporal de estas fases se ajusta al calendario académico del programa y a los compromisos de seguimiento establecidos con la directora del trabajo.</w:t>
      </w:r>
    </w:p>
    <w:p w14:paraId="70AA000F" w14:textId="77777777" w:rsidR="00000000" w:rsidRDefault="00000000">
      <w:pPr>
        <w:pStyle w:val="Ttulo3"/>
      </w:pPr>
      <w:r>
        <w:lastRenderedPageBreak/>
        <w:t>Fase 1. Revisión sistemática de la literatura</w:t>
      </w:r>
    </w:p>
    <w:p w14:paraId="70AA0010" w14:textId="77777777" w:rsidR="00000000" w:rsidRDefault="00000000">
      <w:r>
        <w:t xml:space="preserve">Se llevará a cabo una revisión bibliográfica estructurada en bases de datos académicas indexadas, entre ellas Scopus, Web of Science e IEEE Xplore. Los criterios de inclusión comprenderán trabajos que aborden métodos de pronóstico de series temporales en contextos financieros o empresariales, esquemas de backtesting temporal y métricas de evaluación orientadas al impacto económico. Los resultados se sintetizarán en una matriz comparativa de modelos, métricas y contextos de aplicación, que servirá como base </w:t>
      </w:r>
      <w:r>
        <w:t>para la selección definitiva de las arquitecturas a evaluar en fases posteriores (Petropoulos et al., 2022).</w:t>
      </w:r>
    </w:p>
    <w:p w14:paraId="70AA0011" w14:textId="77777777" w:rsidR="00000000" w:rsidRDefault="00000000">
      <w:pPr>
        <w:pStyle w:val="Ttulo3"/>
      </w:pPr>
      <w:r>
        <w:t>Fase 2. Adquisición y preparación de datos</w:t>
      </w:r>
    </w:p>
    <w:p w14:paraId="70AA0012" w14:textId="77777777" w:rsidR="00000000" w:rsidRDefault="00000000">
      <w:r>
        <w:t xml:space="preserve">Se recopilará el conjunto de series temporales financieras mensuales correspondiente al contexto de aplicación del trabajo. Esta fase comprende la normalización del formato, el tratamiento de valores faltantes y atípicos, y el análisis exploratorio de las series. Dicho análisis incluye la descomposición estacional mediante el método STL, la identificación de tendencia y la verificación de estacionariedad a través de pruebas estadísticas como ADF y KPSS. La caracterización del conjunto de datos, en términos </w:t>
      </w:r>
      <w:r>
        <w:t>de categorías contables incluidas, horizonte temporal disponible y granularidad de la información, quedará documentada en el capítulo de desarrollo específico de la contribución.</w:t>
      </w:r>
    </w:p>
    <w:p w14:paraId="70AA0013" w14:textId="77777777" w:rsidR="00000000" w:rsidRDefault="00000000">
      <w:pPr>
        <w:pStyle w:val="Ttulo3"/>
      </w:pPr>
      <w:r>
        <w:t>Fase 3. Diseño del protocolo de backtesting</w:t>
      </w:r>
    </w:p>
    <w:p w14:paraId="70AA0014" w14:textId="77777777" w:rsidR="00000000" w:rsidRDefault="00000000">
      <w:r>
        <w:t>Se diseñará e implementará el motor de backtesting temporal walk-forward, definiendo los parámetros clave del protocolo: tamaño mínimo de la ventana de entrenamiento inicial, longitud del horizonte de pronóstico expresado en meses y número de iteraciones de desplazamiento. La implementación garantizará que, en ninguna iteración, los datos del periodo de evaluación sean accesibles durante el proceso de ajuste del modelo. Este diseño reproduce las condiciones de un entorno de producción real y elimina la prin</w:t>
      </w:r>
      <w:r>
        <w:t>cipal fuente de invalidez metodológica en la evaluación de modelos de series temporales: la contaminación entre particiones de entrenamiento y prueba (Bergmeir &amp; Hyndman, 2012).</w:t>
      </w:r>
    </w:p>
    <w:p w14:paraId="70AA0015" w14:textId="77777777" w:rsidR="00000000" w:rsidRDefault="00000000">
      <w:pPr>
        <w:pStyle w:val="Ttulo3"/>
      </w:pPr>
      <w:r>
        <w:t>Fase 4. Implementación y ajuste de modelos</w:t>
      </w:r>
    </w:p>
    <w:p w14:paraId="70AA0016" w14:textId="77777777" w:rsidR="00000000" w:rsidRDefault="00000000">
      <w:r>
        <w:t xml:space="preserve">Cada familia de modelos será implementada de forma modular e independiente dentro del pipeline, facilitando su sustitución o extensión sin afectar al resto del sistema. Los modelos </w:t>
      </w:r>
      <w:r>
        <w:lastRenderedPageBreak/>
        <w:t>estadísticos, que incluyen ETS, Holt-Winters y SARIMA, serán ajustados mediante criterios de información AIC y BIC sobre cada ventana de entrenamiento. El modelo de gradient boosting incorporará ingeniería de variables temporales, que comprende rezagos de la variable objetivo, indicadores de calendario y características derivadas de la descomposición de la serie (Januschowski et al., 2020). En todos los casos, el ajuste de hiperparámetros se realizará exclusivamente sobre datos de entrenamiento mediante val</w:t>
      </w:r>
      <w:r>
        <w:t>idación cruzada temporal interna, respetando en todo momento el principio de no contaminación de la evaluación. Esta fase concentra la mayor parte de la carga individual por integrante del equipo, dado que cada uno tiene asignada de forma primaria una familia de modelos diferenciada.</w:t>
      </w:r>
    </w:p>
    <w:p w14:paraId="70AA0017" w14:textId="77777777" w:rsidR="00000000" w:rsidRDefault="00000000">
      <w:pPr>
        <w:pStyle w:val="Ttulo3"/>
      </w:pPr>
      <w:r>
        <w:t>Fase 5. Análisis de resultados y construcción del framework</w:t>
      </w:r>
    </w:p>
    <w:p w14:paraId="70AA0018" w14:textId="77777777" w:rsidR="00000000" w:rsidRDefault="00000000">
      <w:r>
        <w:t>Los resultados del backtesting serán consolidados y analizados según las métricas definidas en el OE4. El análisis comprenderá cuatro dimensiones: comparativa global de modelos por familia, desagregación por categorías contables, evaluación de la estabilidad temporal del desempeño a lo largo de las iteraciones walk-forward, y cuantificación del impacto económico derivado de adoptar el modelo de mayor precisión frente al de menor. Con base en estos resultados, se elaborará el framework de selección de modelo</w:t>
      </w:r>
      <w:r>
        <w:t>s descrito en el OE5, definiendo umbrales cuantitativos y criterios de priorización según el tipo de serie financiera.</w:t>
      </w:r>
    </w:p>
    <w:p w14:paraId="70AA0019" w14:textId="77777777" w:rsidR="00000000" w:rsidRDefault="00000000">
      <w:pPr>
        <w:pStyle w:val="Ttulo3"/>
      </w:pPr>
      <w:r>
        <w:t>Fase 6. Redacción, revisión y entrega</w:t>
      </w:r>
    </w:p>
    <w:p w14:paraId="70AA001A" w14:textId="77777777" w:rsidR="00000000" w:rsidRDefault="00000000">
      <w:r>
        <w:t>La documentación técnica y la memoria del TFE se redactarán de forma continua a lo largo del proyecto, con entregas parciales a la directora en los hitos principales de cada fase. Los capítulos correspondientes al desarrollo específico de la contribución y a las conclusiones se completarán una vez finalizado el análisis de la fase anterior. La versión final será sometida a revisión de coherencia, plagio y ortotipografía antes de su entrega formal en la plataforma de la universidad.</w:t>
      </w:r>
    </w:p>
    <w:p w14:paraId="7A037162" w14:textId="3D730A1F" w:rsidR="0018389B" w:rsidRPr="00BD7061" w:rsidRDefault="00A75783" w:rsidP="00194057">
      <w:pPr>
        <w:pStyle w:val="Ttulo1sinnumerar"/>
        <w:rPr>
          <w:lang w:val="en-US"/>
        </w:rPr>
      </w:pPr>
      <w:r>
        <w:rPr>
          <w:lang w:val="en-US"/>
        </w:rPr>
        <w:t>Referencias bibliográficas</w:t>
      </w:r>
      <w:bookmarkEnd w:id="12"/>
    </w:p>
    <w:p w14:paraId="7C336B13" w14:textId="6B818069" w:rsidR="0018389B" w:rsidRPr="0018389B" w:rsidRDefault="0018389B" w:rsidP="008B3B02">
      <w:pPr>
        <w:pStyle w:val="Referenciasbibliogrficas"/>
      </w:pPr>
      <w:r>
        <w:t xml:space="preserve">Armstrong, J. S. (2001). </w:t>
      </w:r>
      <w:r>
        <w:rPr>
          <w:i/>
          <w:iCs/>
        </w:rPr>
        <w:t>Principles of Forecasting</w:t>
      </w:r>
      <w:r>
        <w:t xml:space="preserve">: A Handbook for Researchers and Practitioners. Kluwer Academic Publishers. </w:t>
      </w:r>
    </w:p>
    <w:p w14:paraId="19BA11BC" w14:textId="099D5475" w:rsidR="0018389B" w:rsidRDefault="0018389B" w:rsidP="008B3B02">
      <w:pPr>
        <w:pStyle w:val="Referenciasbibliogrficas"/>
        <w:rPr>
          <w:rFonts w:cs="Arial"/>
          <w:i/>
          <w:iCs/>
          <w:lang w:val="es-ES"/>
        </w:rPr>
      </w:pPr>
      <w:r>
        <w:rPr>
          <w:rFonts w:cs="Arial"/>
        </w:rPr>
        <w:t xml:space="preserve">Bergmeir, C., &amp; Hyndman, R. J. (2012). On the use of cross-validation for time series predictor evaluation. </w:t>
      </w:r>
      <w:r>
        <w:rPr>
          <w:rFonts w:cs="Arial"/>
          <w:i/>
          <w:iCs/>
        </w:rPr>
        <w:t>Information Sciences</w:t>
      </w:r>
      <w:r>
        <w:rPr>
          <w:rFonts w:cs="Arial"/>
          <w:i/>
          <w:iCs/>
          <w:lang w:val="es-ES"/>
        </w:rPr>
        <w:t xml:space="preserve">, 191, </w:t>
      </w:r>
      <w:r>
        <w:rPr>
          <w:rFonts w:cs="Arial"/>
          <w:lang w:val="es-ES"/>
        </w:rPr>
        <w:t>192–203</w:t>
      </w:r>
      <w:r>
        <w:rPr>
          <w:rFonts w:cs="Arial"/>
          <w:i/>
          <w:iCs/>
          <w:lang w:val="es-ES"/>
        </w:rPr>
        <w:t>.</w:t>
      </w:r>
    </w:p>
    <w:p w14:paraId="21382537" w14:textId="0B783013" w:rsidR="00807EAC" w:rsidRDefault="00E57698" w:rsidP="00807EAC">
      <w:pPr>
        <w:pStyle w:val="Referenciasbibliogrficas"/>
        <w:rPr>
          <w:rFonts w:cs="Arial"/>
        </w:rPr>
      </w:pPr>
      <w:r>
        <w:rPr>
          <w:rFonts w:cs="Arial"/>
          <w:lang w:val="es-ES"/>
        </w:rPr>
        <w:lastRenderedPageBreak/>
        <w:t>Garza Ramírez, F., Challu, C., Olivares, K. G., &amp; Mergenthaler Canseco, M. (2025)</w:t>
      </w:r>
      <w:r>
        <w:rPr>
          <w:rFonts w:cs="Arial"/>
          <w:lang w:val="es-CO"/>
        </w:rPr>
        <w:t xml:space="preserve">. </w:t>
      </w:r>
      <w:r>
        <w:rPr>
          <w:rFonts w:cs="Arial"/>
        </w:rPr>
        <w:t xml:space="preserve">Value-Oriented Forecasting: Bridging the Gap Between AI Metrics and Financial P&amp;L. </w:t>
      </w:r>
      <w:r>
        <w:rPr>
          <w:rFonts w:cs="Arial"/>
          <w:i/>
          <w:iCs/>
        </w:rPr>
        <w:t>Journal of Financial Data Science</w:t>
      </w:r>
      <w:r>
        <w:rPr>
          <w:rFonts w:cs="Arial"/>
        </w:rPr>
        <w:t>.</w:t>
      </w:r>
    </w:p>
    <w:p w14:paraId="020CCA4A" w14:textId="2F856C8C" w:rsidR="00807EAC" w:rsidRDefault="00807EAC" w:rsidP="00807EAC">
      <w:pPr>
        <w:pStyle w:val="Referenciasbibliogrficas"/>
        <w:rPr>
          <w:rFonts w:cs="Arial"/>
        </w:rPr>
      </w:pPr>
      <w:r>
        <w:rPr>
          <w:rFonts w:cs="Arial"/>
        </w:rPr>
        <w:t xml:space="preserve">Hyndman, R. J., &amp; Athanasopoulos, G. (2021). </w:t>
      </w:r>
      <w:r>
        <w:rPr>
          <w:rFonts w:cs="Arial"/>
          <w:i/>
          <w:iCs/>
        </w:rPr>
        <w:t>Forecasting: Principles and Practice</w:t>
      </w:r>
      <w:r>
        <w:rPr>
          <w:rFonts w:cs="Arial"/>
        </w:rPr>
        <w:t xml:space="preserve"> (3rd ed.). OTexts. </w:t>
      </w:r>
    </w:p>
    <w:p w14:paraId="4BC90E3E" w14:textId="48AAF546" w:rsidR="00807EAC" w:rsidRDefault="00E57698" w:rsidP="00807EAC">
      <w:pPr>
        <w:pStyle w:val="Referenciasbibliogrficas"/>
        <w:rPr>
          <w:rFonts w:cs="Arial"/>
          <w:lang w:val="es-ES"/>
        </w:rPr>
      </w:pPr>
      <w:r>
        <w:rPr>
          <w:rFonts w:cs="Arial"/>
        </w:rPr>
        <w:t xml:space="preserve">Januschowski, T., Wang, Y., Torkkola, K., Erkkilä, T., Hasson, H., &amp; Gasthaus, J. (2020). Forecasting with trees. </w:t>
      </w:r>
      <w:r>
        <w:rPr>
          <w:rFonts w:cs="Arial"/>
          <w:i/>
          <w:iCs/>
        </w:rPr>
        <w:t>International Journal of Forecasting</w:t>
      </w:r>
      <w:r>
        <w:rPr>
          <w:rFonts w:cs="Arial"/>
        </w:rPr>
        <w:t xml:space="preserve">. </w:t>
      </w:r>
      <w:r>
        <w:rPr>
          <w:rFonts w:cs="Arial"/>
          <w:i/>
          <w:iCs/>
          <w:lang w:val="es-ES"/>
        </w:rPr>
        <w:t>36</w:t>
      </w:r>
      <w:r>
        <w:rPr>
          <w:rFonts w:cs="Arial"/>
          <w:lang w:val="es-ES"/>
        </w:rPr>
        <w:t>(1), 167–173.</w:t>
      </w:r>
    </w:p>
    <w:p w14:paraId="3EAF5766" w14:textId="447B3E1D" w:rsidR="00807EAC" w:rsidRDefault="00807EAC" w:rsidP="00807EAC">
      <w:pPr>
        <w:pStyle w:val="Referenciasbibliogrficas"/>
        <w:rPr>
          <w:rFonts w:cs="Arial"/>
          <w:i/>
          <w:iCs/>
          <w:lang w:val="es-ES"/>
        </w:rPr>
      </w:pPr>
      <w:r>
        <w:rPr>
          <w:rFonts w:cs="Arial"/>
        </w:rPr>
        <w:t xml:space="preserve">Lim, B., &amp; Zohren, S. (2021). Time-series forecasting with deep learning: a survey. </w:t>
      </w:r>
      <w:r>
        <w:rPr>
          <w:rFonts w:cs="Arial"/>
          <w:i/>
          <w:iCs/>
        </w:rPr>
        <w:t xml:space="preserve">Philosophical Transactions of the Royal Society A, </w:t>
      </w:r>
      <w:r>
        <w:rPr>
          <w:rFonts w:cs="Arial"/>
          <w:i/>
          <w:iCs/>
          <w:lang w:val="es-ES"/>
        </w:rPr>
        <w:t>379</w:t>
      </w:r>
      <w:r>
        <w:rPr>
          <w:rFonts w:cs="Arial"/>
          <w:lang w:val="es-ES"/>
        </w:rPr>
        <w:t>(2194), 20200209</w:t>
      </w:r>
      <w:r>
        <w:rPr>
          <w:rFonts w:cs="Arial"/>
          <w:i/>
          <w:iCs/>
          <w:lang w:val="es-ES"/>
        </w:rPr>
        <w:t>.</w:t>
      </w:r>
    </w:p>
    <w:p w14:paraId="23350194" w14:textId="026C425B" w:rsidR="00807EAC" w:rsidRDefault="00E57698" w:rsidP="00807EAC">
      <w:pPr>
        <w:pStyle w:val="Referenciasbibliogrficas"/>
        <w:rPr>
          <w:rFonts w:cs="Arial"/>
          <w:lang w:val="es-ES"/>
        </w:rPr>
      </w:pPr>
      <w:r>
        <w:rPr>
          <w:rFonts w:cs="Arial"/>
        </w:rPr>
        <w:t xml:space="preserve">Lim, B., Arık, S. Ö., Loeff, N., &amp; Pfister, T. (2021). Temporal Fusion Transformers for interpretable multi-horizon time series forecasting. </w:t>
      </w:r>
      <w:r>
        <w:rPr>
          <w:rFonts w:cs="Arial"/>
          <w:i/>
          <w:iCs/>
        </w:rPr>
        <w:t>International Journal of Forecasting</w:t>
      </w:r>
      <w:r>
        <w:rPr>
          <w:rFonts w:cs="Arial"/>
        </w:rPr>
        <w:t xml:space="preserve">, </w:t>
      </w:r>
      <w:r>
        <w:rPr>
          <w:rFonts w:cs="Arial"/>
          <w:i/>
          <w:iCs/>
          <w:lang w:val="es-ES"/>
        </w:rPr>
        <w:t>37</w:t>
      </w:r>
      <w:r>
        <w:rPr>
          <w:rFonts w:cs="Arial"/>
          <w:lang w:val="es-ES"/>
        </w:rPr>
        <w:t>(4), 1748–1764.</w:t>
      </w:r>
    </w:p>
    <w:p w14:paraId="5798A4B7" w14:textId="19600430" w:rsidR="00807EAC" w:rsidRDefault="00807EAC" w:rsidP="00807EAC">
      <w:pPr>
        <w:pStyle w:val="Referenciasbibliogrficas"/>
        <w:rPr>
          <w:rFonts w:cs="Arial"/>
        </w:rPr>
      </w:pPr>
      <w:r>
        <w:rPr>
          <w:rFonts w:cs="Arial"/>
        </w:rPr>
        <w:t xml:space="preserve">Liu, S., &amp; Zhao, H. (2026). Foundational Models for Financial Time-Series: A Comprehensive Benchmark. </w:t>
      </w:r>
      <w:r>
        <w:rPr>
          <w:rFonts w:cs="Arial"/>
          <w:i/>
          <w:iCs/>
        </w:rPr>
        <w:t>International Journal of AI in Finance</w:t>
      </w:r>
      <w:r>
        <w:rPr>
          <w:rFonts w:cs="Arial"/>
        </w:rPr>
        <w:t xml:space="preserve">. </w:t>
      </w:r>
    </w:p>
    <w:p w14:paraId="2E2516E7" w14:textId="48E5B44C" w:rsidR="00807EAC" w:rsidRDefault="00E57698" w:rsidP="00807EAC">
      <w:pPr>
        <w:pStyle w:val="Referenciasbibliogrficas"/>
        <w:rPr>
          <w:rFonts w:cs="Arial"/>
        </w:rPr>
      </w:pPr>
      <w:r>
        <w:rPr>
          <w:rFonts w:cs="Arial"/>
          <w:lang w:val="es-ES"/>
        </w:rPr>
        <w:t>Makridakis, S., Spiliotis, E., &amp; Petropoulos, F. (2025)</w:t>
      </w:r>
      <w:r>
        <w:rPr>
          <w:rFonts w:cs="Arial"/>
          <w:lang w:val="es-CO"/>
        </w:rPr>
        <w:t xml:space="preserve">. </w:t>
      </w:r>
      <w:r>
        <w:rPr>
          <w:rFonts w:cs="Arial"/>
        </w:rPr>
        <w:t xml:space="preserve">The Post-M6 Era: Real-world impact of AI in Corporate Financial Planning. </w:t>
      </w:r>
      <w:r>
        <w:rPr>
          <w:rFonts w:cs="Arial"/>
          <w:i/>
          <w:iCs/>
        </w:rPr>
        <w:t>Forecasting and Decision Support Systems</w:t>
      </w:r>
      <w:r>
        <w:rPr>
          <w:rFonts w:cs="Arial"/>
        </w:rPr>
        <w:t xml:space="preserve">. </w:t>
      </w:r>
    </w:p>
    <w:p w14:paraId="5542495D" w14:textId="3C44F6F5" w:rsidR="00807EAC" w:rsidRPr="00E57698" w:rsidRDefault="00E57698" w:rsidP="00807EAC">
      <w:pPr>
        <w:pStyle w:val="Referenciasbibliogrficas"/>
        <w:rPr>
          <w:rFonts w:cs="Arial"/>
        </w:rPr>
      </w:pPr>
      <w:r>
        <w:rPr>
          <w:rFonts w:cs="Arial"/>
        </w:rPr>
        <w:t xml:space="preserve">Petropoulos, F., Apiletti, D., Assimakopoulos, V., Babai, M. Z., Barrow, D. K., Ben Taieb, S., Bergmeir, C., Bessa, R. J., Bijak, J., Boylan, J. E., Browell, J., Carnevale, C., Castle, J. L., Cirillo, P., Clements, M. P., Cordeiro, C., Cyrino Oliveira, F. L., De Baets, S., Dokumentov, A., ... Winkler, R. L. (2022). Forecasting: theory and practice. </w:t>
      </w:r>
      <w:r>
        <w:rPr>
          <w:rFonts w:cs="Arial"/>
          <w:i/>
          <w:iCs/>
        </w:rPr>
        <w:t>International Journal of Forecasting, 38</w:t>
      </w:r>
      <w:r>
        <w:rPr>
          <w:rFonts w:cs="Arial"/>
        </w:rPr>
        <w:t>(3), 705–871.</w:t>
      </w:r>
    </w:p>
    <w:p w14:paraId="3961F574" w14:textId="5842CA51" w:rsidR="00DB3D52" w:rsidRDefault="00E57698" w:rsidP="008B3B02">
      <w:pPr>
        <w:pStyle w:val="Referenciasbibliogrficas"/>
        <w:rPr>
          <w:rFonts w:cs="Arial"/>
          <w:lang w:val="es-CO"/>
        </w:rPr>
      </w:pPr>
      <w:r>
        <w:rPr>
          <w:rFonts w:cs="Arial"/>
        </w:rPr>
        <w:t xml:space="preserve">Zhang, L., Aggarwal, C., Qi, G. J., Jin, M., Han, T., &amp; Chen, H. (2025). </w:t>
      </w:r>
      <w:r>
        <w:rPr>
          <w:rFonts w:cs="Arial"/>
          <w:i/>
          <w:iCs/>
        </w:rPr>
        <w:t>FinCast: A Foundation Model for Financial Time-Series Forecasting</w:t>
      </w:r>
      <w:r>
        <w:rPr>
          <w:rFonts w:cs="Arial"/>
        </w:rPr>
        <w:t>. arXiv preprint.</w:t>
      </w:r>
    </w:p>
    <w:p w14:paraId="5B23612D" w14:textId="77777777" w:rsidR="00807EAC" w:rsidRPr="00807EAC" w:rsidRDefault="00807EAC" w:rsidP="00055EB4">
      <w:pPr>
        <w:tabs>
          <w:tab w:val="right" w:pos="9498"/>
        </w:tabs>
        <w:spacing w:after="240"/>
        <w:rPr>
          <w:rFonts w:cs="Arial"/>
          <w:lang w:val="en-US"/>
        </w:rPr>
      </w:pPr>
    </w:p>
    <w:sectPr w:rsidR="00807EAC" w:rsidRPr="00807EAC" w:rsidSect="004871CB">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25662" w14:textId="77777777" w:rsidR="000D7123" w:rsidRDefault="000D7123" w:rsidP="006403BD">
      <w:r>
        <w:separator/>
      </w:r>
    </w:p>
  </w:endnote>
  <w:endnote w:type="continuationSeparator" w:id="0">
    <w:p w14:paraId="64F5301A" w14:textId="77777777" w:rsidR="000D7123" w:rsidRDefault="000D7123"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panose1 w:val="00000000000000000000"/>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41DDC" w14:textId="77777777" w:rsidR="000D7123" w:rsidRDefault="000D7123" w:rsidP="006403BD">
      <w:r>
        <w:separator/>
      </w:r>
    </w:p>
  </w:footnote>
  <w:footnote w:type="continuationSeparator" w:id="0">
    <w:p w14:paraId="7FC39A41" w14:textId="77777777" w:rsidR="000D7123" w:rsidRDefault="000D7123"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AE54" w14:textId="38A221A5" w:rsidR="00B13522" w:rsidRDefault="00B13522" w:rsidP="00ED1546">
    <w:pPr>
      <w:pStyle w:val="Encabezado"/>
      <w:spacing w:before="0" w:after="0" w:line="240" w:lineRule="auto"/>
      <w:jc w:val="right"/>
      <w:rPr>
        <w:rFonts w:asciiTheme="majorHAnsi" w:hAnsiTheme="majorHAnsi"/>
        <w:sz w:val="20"/>
      </w:rPr>
    </w:pPr>
    <w:r w:rsidRPr="00B13522">
      <w:rPr>
        <w:rFonts w:asciiTheme="majorHAnsi" w:hAnsiTheme="majorHAnsi"/>
        <w:sz w:val="20"/>
      </w:rPr>
      <w:t xml:space="preserve">Jose Machado, Juan </w:t>
    </w:r>
    <w:r w:rsidR="00E72CCA">
      <w:rPr>
        <w:rFonts w:asciiTheme="majorHAnsi" w:hAnsiTheme="majorHAnsi"/>
        <w:sz w:val="20"/>
      </w:rPr>
      <w:t>Blanco</w:t>
    </w:r>
    <w:r w:rsidR="009E295C">
      <w:rPr>
        <w:rFonts w:asciiTheme="majorHAnsi" w:hAnsiTheme="majorHAnsi"/>
        <w:sz w:val="20"/>
      </w:rPr>
      <w:t xml:space="preserve"> y</w:t>
    </w:r>
    <w:r w:rsidRPr="00B13522">
      <w:rPr>
        <w:rFonts w:asciiTheme="majorHAnsi" w:hAnsiTheme="majorHAnsi"/>
        <w:sz w:val="20"/>
      </w:rPr>
      <w:t xml:space="preserve"> Juan </w:t>
    </w:r>
    <w:r w:rsidR="00E72CCA">
      <w:rPr>
        <w:rFonts w:asciiTheme="majorHAnsi" w:hAnsiTheme="majorHAnsi"/>
        <w:sz w:val="20"/>
      </w:rPr>
      <w:t>Rico</w:t>
    </w:r>
    <w:r w:rsidRPr="00B13522">
      <w:rPr>
        <w:rFonts w:asciiTheme="majorHAnsi" w:hAnsiTheme="majorHAnsi"/>
        <w:sz w:val="20"/>
      </w:rPr>
      <w:t xml:space="preserve"> </w:t>
    </w:r>
  </w:p>
  <w:p w14:paraId="488BB47A" w14:textId="57688C71"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A45FE7"/>
    <w:multiLevelType w:val="hybridMultilevel"/>
    <w:tmpl w:val="FCACF3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087EFD"/>
    <w:multiLevelType w:val="hybridMultilevel"/>
    <w:tmpl w:val="F2C411A2"/>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2" w15:restartNumberingAfterBreak="0">
    <w:nsid w:val="36C15349"/>
    <w:multiLevelType w:val="hybridMultilevel"/>
    <w:tmpl w:val="F86C01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6"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D1F18C3"/>
    <w:multiLevelType w:val="multilevel"/>
    <w:tmpl w:val="B37C3B20"/>
    <w:numStyleLink w:val="VietasUNIR"/>
  </w:abstractNum>
  <w:abstractNum w:abstractNumId="25"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AF3D3D"/>
    <w:multiLevelType w:val="hybridMultilevel"/>
    <w:tmpl w:val="14401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10"/>
  </w:num>
  <w:num w:numId="2" w16cid:durableId="1251886130">
    <w:abstractNumId w:val="26"/>
  </w:num>
  <w:num w:numId="3" w16cid:durableId="1596016411">
    <w:abstractNumId w:val="14"/>
  </w:num>
  <w:num w:numId="4" w16cid:durableId="1561018935">
    <w:abstractNumId w:val="0"/>
  </w:num>
  <w:num w:numId="5" w16cid:durableId="1169096736">
    <w:abstractNumId w:val="6"/>
  </w:num>
  <w:num w:numId="6" w16cid:durableId="290479389">
    <w:abstractNumId w:val="16"/>
  </w:num>
  <w:num w:numId="7" w16cid:durableId="998194144">
    <w:abstractNumId w:val="15"/>
  </w:num>
  <w:num w:numId="8" w16cid:durableId="21059511">
    <w:abstractNumId w:val="11"/>
  </w:num>
  <w:num w:numId="9" w16cid:durableId="747843244">
    <w:abstractNumId w:val="22"/>
  </w:num>
  <w:num w:numId="10" w16cid:durableId="776297507">
    <w:abstractNumId w:val="19"/>
  </w:num>
  <w:num w:numId="11" w16cid:durableId="1406339807">
    <w:abstractNumId w:val="18"/>
  </w:num>
  <w:num w:numId="12" w16cid:durableId="1078792026">
    <w:abstractNumId w:val="9"/>
  </w:num>
  <w:num w:numId="13" w16cid:durableId="1648512269">
    <w:abstractNumId w:val="7"/>
  </w:num>
  <w:num w:numId="14" w16cid:durableId="1372072029">
    <w:abstractNumId w:val="13"/>
  </w:num>
  <w:num w:numId="15" w16cid:durableId="1569536944">
    <w:abstractNumId w:val="13"/>
    <w:lvlOverride w:ilvl="0">
      <w:startOverride w:val="1"/>
    </w:lvlOverride>
    <w:lvlOverride w:ilvl="1">
      <w:startOverride w:val="1"/>
    </w:lvlOverride>
    <w:lvlOverride w:ilvl="2">
      <w:startOverride w:val="1"/>
    </w:lvlOverride>
  </w:num>
  <w:num w:numId="16" w16cid:durableId="1560046017">
    <w:abstractNumId w:val="13"/>
  </w:num>
  <w:num w:numId="17" w16cid:durableId="1399480590">
    <w:abstractNumId w:val="27"/>
  </w:num>
  <w:num w:numId="18" w16cid:durableId="1793279753">
    <w:abstractNumId w:val="25"/>
  </w:num>
  <w:num w:numId="19" w16cid:durableId="1162426106">
    <w:abstractNumId w:val="30"/>
  </w:num>
  <w:num w:numId="20" w16cid:durableId="1092552639">
    <w:abstractNumId w:val="23"/>
  </w:num>
  <w:num w:numId="21" w16cid:durableId="1736735501">
    <w:abstractNumId w:val="5"/>
  </w:num>
  <w:num w:numId="22" w16cid:durableId="1006136419">
    <w:abstractNumId w:val="1"/>
  </w:num>
  <w:num w:numId="23" w16cid:durableId="507838896">
    <w:abstractNumId w:val="2"/>
  </w:num>
  <w:num w:numId="24" w16cid:durableId="1789814387">
    <w:abstractNumId w:val="17"/>
  </w:num>
  <w:num w:numId="25" w16cid:durableId="964709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5"/>
  </w:num>
  <w:num w:numId="27" w16cid:durableId="1600941942">
    <w:abstractNumId w:val="25"/>
  </w:num>
  <w:num w:numId="28" w16cid:durableId="13327563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5"/>
  </w:num>
  <w:num w:numId="30" w16cid:durableId="6958830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5"/>
  </w:num>
  <w:num w:numId="32" w16cid:durableId="1499610836">
    <w:abstractNumId w:val="25"/>
  </w:num>
  <w:num w:numId="33" w16cid:durableId="646975774">
    <w:abstractNumId w:val="25"/>
  </w:num>
  <w:num w:numId="34" w16cid:durableId="466044123">
    <w:abstractNumId w:val="25"/>
  </w:num>
  <w:num w:numId="35" w16cid:durableId="2029869925">
    <w:abstractNumId w:val="25"/>
  </w:num>
  <w:num w:numId="36" w16cid:durableId="183322633">
    <w:abstractNumId w:val="25"/>
  </w:num>
  <w:num w:numId="37" w16cid:durableId="466049441">
    <w:abstractNumId w:val="25"/>
  </w:num>
  <w:num w:numId="38" w16cid:durableId="1899365851">
    <w:abstractNumId w:val="29"/>
  </w:num>
  <w:num w:numId="39" w16cid:durableId="1099250510">
    <w:abstractNumId w:val="8"/>
  </w:num>
  <w:num w:numId="40" w16cid:durableId="1678731548">
    <w:abstractNumId w:val="21"/>
  </w:num>
  <w:num w:numId="41" w16cid:durableId="1778334430">
    <w:abstractNumId w:val="20"/>
  </w:num>
  <w:num w:numId="42" w16cid:durableId="1579287125">
    <w:abstractNumId w:val="24"/>
  </w:num>
  <w:num w:numId="43" w16cid:durableId="2032755601">
    <w:abstractNumId w:val="12"/>
  </w:num>
  <w:num w:numId="44" w16cid:durableId="1308821083">
    <w:abstractNumId w:val="28"/>
  </w:num>
  <w:num w:numId="45" w16cid:durableId="1283413971">
    <w:abstractNumId w:val="3"/>
  </w:num>
  <w:num w:numId="46" w16cid:durableId="1154566548">
    <w:abstractNumId w:val="4"/>
  </w:num>
  <w:num w:numId="47" w16cid:durableId="19211394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3458"/>
    <w:rsid w:val="00025B76"/>
    <w:rsid w:val="00026621"/>
    <w:rsid w:val="00034DA4"/>
    <w:rsid w:val="000517BB"/>
    <w:rsid w:val="00055EB4"/>
    <w:rsid w:val="000670E8"/>
    <w:rsid w:val="000757FF"/>
    <w:rsid w:val="00081009"/>
    <w:rsid w:val="00081560"/>
    <w:rsid w:val="00092996"/>
    <w:rsid w:val="000A1265"/>
    <w:rsid w:val="000A48C4"/>
    <w:rsid w:val="000B6B56"/>
    <w:rsid w:val="000D09A0"/>
    <w:rsid w:val="000D5E09"/>
    <w:rsid w:val="000D7123"/>
    <w:rsid w:val="000E0CC7"/>
    <w:rsid w:val="000E4E28"/>
    <w:rsid w:val="001526D9"/>
    <w:rsid w:val="00153E3E"/>
    <w:rsid w:val="0016080C"/>
    <w:rsid w:val="00164371"/>
    <w:rsid w:val="00166012"/>
    <w:rsid w:val="00171619"/>
    <w:rsid w:val="0017435A"/>
    <w:rsid w:val="00176DFC"/>
    <w:rsid w:val="001834C3"/>
    <w:rsid w:val="0018389B"/>
    <w:rsid w:val="001879A7"/>
    <w:rsid w:val="00190B84"/>
    <w:rsid w:val="00194057"/>
    <w:rsid w:val="001944D1"/>
    <w:rsid w:val="00196EF2"/>
    <w:rsid w:val="001B59CD"/>
    <w:rsid w:val="001C1B5D"/>
    <w:rsid w:val="001C2AB4"/>
    <w:rsid w:val="001C2FB3"/>
    <w:rsid w:val="001C4EA4"/>
    <w:rsid w:val="001D46C8"/>
    <w:rsid w:val="001D76E5"/>
    <w:rsid w:val="001E269E"/>
    <w:rsid w:val="001E62CD"/>
    <w:rsid w:val="001F59B3"/>
    <w:rsid w:val="0020605D"/>
    <w:rsid w:val="00211EDC"/>
    <w:rsid w:val="00233551"/>
    <w:rsid w:val="00235CE3"/>
    <w:rsid w:val="00243A8B"/>
    <w:rsid w:val="00244EAD"/>
    <w:rsid w:val="0025047A"/>
    <w:rsid w:val="00252BBA"/>
    <w:rsid w:val="00266CBA"/>
    <w:rsid w:val="002904CE"/>
    <w:rsid w:val="002B3E99"/>
    <w:rsid w:val="002B40D3"/>
    <w:rsid w:val="002D0CC1"/>
    <w:rsid w:val="002E7D6F"/>
    <w:rsid w:val="00320CD3"/>
    <w:rsid w:val="003233AB"/>
    <w:rsid w:val="00327D49"/>
    <w:rsid w:val="00336DDD"/>
    <w:rsid w:val="00336EA6"/>
    <w:rsid w:val="0034192C"/>
    <w:rsid w:val="00350B2E"/>
    <w:rsid w:val="003519E8"/>
    <w:rsid w:val="0035422F"/>
    <w:rsid w:val="00354C01"/>
    <w:rsid w:val="00354D98"/>
    <w:rsid w:val="00382E79"/>
    <w:rsid w:val="003833C7"/>
    <w:rsid w:val="0039099F"/>
    <w:rsid w:val="00392B00"/>
    <w:rsid w:val="003A50C3"/>
    <w:rsid w:val="003B79CA"/>
    <w:rsid w:val="003D1694"/>
    <w:rsid w:val="003D1A96"/>
    <w:rsid w:val="003D5130"/>
    <w:rsid w:val="003E11E1"/>
    <w:rsid w:val="003F0CA1"/>
    <w:rsid w:val="003F152D"/>
    <w:rsid w:val="003F24BC"/>
    <w:rsid w:val="003F4680"/>
    <w:rsid w:val="00423E85"/>
    <w:rsid w:val="00436FA0"/>
    <w:rsid w:val="00461979"/>
    <w:rsid w:val="0047334C"/>
    <w:rsid w:val="0048445F"/>
    <w:rsid w:val="00486BD4"/>
    <w:rsid w:val="004871CB"/>
    <w:rsid w:val="00490EAC"/>
    <w:rsid w:val="004B3999"/>
    <w:rsid w:val="004D3460"/>
    <w:rsid w:val="004D566D"/>
    <w:rsid w:val="004E255D"/>
    <w:rsid w:val="00506743"/>
    <w:rsid w:val="00507BAD"/>
    <w:rsid w:val="00514164"/>
    <w:rsid w:val="00515C19"/>
    <w:rsid w:val="00521A79"/>
    <w:rsid w:val="0053518B"/>
    <w:rsid w:val="00535F70"/>
    <w:rsid w:val="00556E52"/>
    <w:rsid w:val="0057237E"/>
    <w:rsid w:val="00596B3C"/>
    <w:rsid w:val="005A1CF6"/>
    <w:rsid w:val="005A2B04"/>
    <w:rsid w:val="005B1949"/>
    <w:rsid w:val="005B3AB6"/>
    <w:rsid w:val="005C420C"/>
    <w:rsid w:val="005C7ED3"/>
    <w:rsid w:val="005D4C0B"/>
    <w:rsid w:val="005D549B"/>
    <w:rsid w:val="005D6F1D"/>
    <w:rsid w:val="005E01AE"/>
    <w:rsid w:val="005F110C"/>
    <w:rsid w:val="005F6BB4"/>
    <w:rsid w:val="0060528F"/>
    <w:rsid w:val="006056D2"/>
    <w:rsid w:val="0060653F"/>
    <w:rsid w:val="006311F9"/>
    <w:rsid w:val="006403BD"/>
    <w:rsid w:val="00642BA6"/>
    <w:rsid w:val="00653A94"/>
    <w:rsid w:val="0065622B"/>
    <w:rsid w:val="0066672A"/>
    <w:rsid w:val="00670B3B"/>
    <w:rsid w:val="00672C35"/>
    <w:rsid w:val="00673D42"/>
    <w:rsid w:val="0067645E"/>
    <w:rsid w:val="0068562C"/>
    <w:rsid w:val="00692D10"/>
    <w:rsid w:val="006A30D9"/>
    <w:rsid w:val="006A4C97"/>
    <w:rsid w:val="006A56B3"/>
    <w:rsid w:val="006B02A7"/>
    <w:rsid w:val="006B24A2"/>
    <w:rsid w:val="006B5B9B"/>
    <w:rsid w:val="006C2273"/>
    <w:rsid w:val="006D22AA"/>
    <w:rsid w:val="006D3B11"/>
    <w:rsid w:val="006D7B06"/>
    <w:rsid w:val="006E42C4"/>
    <w:rsid w:val="006E4D8A"/>
    <w:rsid w:val="006F13B4"/>
    <w:rsid w:val="006F2CB9"/>
    <w:rsid w:val="006F4E2B"/>
    <w:rsid w:val="0070439E"/>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07EAC"/>
    <w:rsid w:val="00811669"/>
    <w:rsid w:val="00814B90"/>
    <w:rsid w:val="00821D63"/>
    <w:rsid w:val="00834548"/>
    <w:rsid w:val="008414E8"/>
    <w:rsid w:val="00841AF3"/>
    <w:rsid w:val="00853F7B"/>
    <w:rsid w:val="008544B8"/>
    <w:rsid w:val="00856DFC"/>
    <w:rsid w:val="008607A8"/>
    <w:rsid w:val="00863C43"/>
    <w:rsid w:val="00877054"/>
    <w:rsid w:val="00881DD5"/>
    <w:rsid w:val="008958B1"/>
    <w:rsid w:val="008A283D"/>
    <w:rsid w:val="008A30B1"/>
    <w:rsid w:val="008B0789"/>
    <w:rsid w:val="008B3B02"/>
    <w:rsid w:val="008C16EB"/>
    <w:rsid w:val="008E0EE0"/>
    <w:rsid w:val="008E30AB"/>
    <w:rsid w:val="00914BA4"/>
    <w:rsid w:val="00920246"/>
    <w:rsid w:val="00920B7C"/>
    <w:rsid w:val="009408EA"/>
    <w:rsid w:val="009450AB"/>
    <w:rsid w:val="00947B4F"/>
    <w:rsid w:val="00960142"/>
    <w:rsid w:val="0096740E"/>
    <w:rsid w:val="00977178"/>
    <w:rsid w:val="009A03FE"/>
    <w:rsid w:val="009A052D"/>
    <w:rsid w:val="009A2FA9"/>
    <w:rsid w:val="009A684C"/>
    <w:rsid w:val="009B2037"/>
    <w:rsid w:val="009C2E4B"/>
    <w:rsid w:val="009D7F3C"/>
    <w:rsid w:val="009E1788"/>
    <w:rsid w:val="009E295C"/>
    <w:rsid w:val="009E729C"/>
    <w:rsid w:val="009E76F6"/>
    <w:rsid w:val="009F38E3"/>
    <w:rsid w:val="009F6F17"/>
    <w:rsid w:val="00A365F1"/>
    <w:rsid w:val="00A416DD"/>
    <w:rsid w:val="00A725E6"/>
    <w:rsid w:val="00A73552"/>
    <w:rsid w:val="00A75783"/>
    <w:rsid w:val="00A83514"/>
    <w:rsid w:val="00A976F0"/>
    <w:rsid w:val="00AA200A"/>
    <w:rsid w:val="00AC1FF0"/>
    <w:rsid w:val="00AC479D"/>
    <w:rsid w:val="00AE1314"/>
    <w:rsid w:val="00B026E1"/>
    <w:rsid w:val="00B04626"/>
    <w:rsid w:val="00B077AF"/>
    <w:rsid w:val="00B10175"/>
    <w:rsid w:val="00B13522"/>
    <w:rsid w:val="00B21413"/>
    <w:rsid w:val="00B34BF5"/>
    <w:rsid w:val="00B448AD"/>
    <w:rsid w:val="00B51192"/>
    <w:rsid w:val="00B519F0"/>
    <w:rsid w:val="00B52802"/>
    <w:rsid w:val="00B56FB6"/>
    <w:rsid w:val="00B60548"/>
    <w:rsid w:val="00B70A72"/>
    <w:rsid w:val="00B745F2"/>
    <w:rsid w:val="00B84795"/>
    <w:rsid w:val="00B94906"/>
    <w:rsid w:val="00B97395"/>
    <w:rsid w:val="00B97947"/>
    <w:rsid w:val="00B97B49"/>
    <w:rsid w:val="00BB12E6"/>
    <w:rsid w:val="00BB470D"/>
    <w:rsid w:val="00BD4B50"/>
    <w:rsid w:val="00BD7061"/>
    <w:rsid w:val="00BE247A"/>
    <w:rsid w:val="00C01B40"/>
    <w:rsid w:val="00C03714"/>
    <w:rsid w:val="00C10A65"/>
    <w:rsid w:val="00C20B13"/>
    <w:rsid w:val="00C235D4"/>
    <w:rsid w:val="00C23992"/>
    <w:rsid w:val="00C24237"/>
    <w:rsid w:val="00C308C3"/>
    <w:rsid w:val="00C443D1"/>
    <w:rsid w:val="00C455F2"/>
    <w:rsid w:val="00C626DB"/>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2380B"/>
    <w:rsid w:val="00D34BAD"/>
    <w:rsid w:val="00D355ED"/>
    <w:rsid w:val="00D358D5"/>
    <w:rsid w:val="00D76D77"/>
    <w:rsid w:val="00D8751D"/>
    <w:rsid w:val="00D92F3B"/>
    <w:rsid w:val="00D936E1"/>
    <w:rsid w:val="00D952D8"/>
    <w:rsid w:val="00D9626D"/>
    <w:rsid w:val="00D971A1"/>
    <w:rsid w:val="00DA0FCE"/>
    <w:rsid w:val="00DA43A0"/>
    <w:rsid w:val="00DB3D52"/>
    <w:rsid w:val="00DB67DA"/>
    <w:rsid w:val="00DC17B0"/>
    <w:rsid w:val="00DF016D"/>
    <w:rsid w:val="00DF01CE"/>
    <w:rsid w:val="00E10F6D"/>
    <w:rsid w:val="00E11B5A"/>
    <w:rsid w:val="00E11EB7"/>
    <w:rsid w:val="00E20C8B"/>
    <w:rsid w:val="00E22B08"/>
    <w:rsid w:val="00E462D0"/>
    <w:rsid w:val="00E50F71"/>
    <w:rsid w:val="00E56DFE"/>
    <w:rsid w:val="00E57698"/>
    <w:rsid w:val="00E62AD5"/>
    <w:rsid w:val="00E72CCA"/>
    <w:rsid w:val="00E769EB"/>
    <w:rsid w:val="00E76BE8"/>
    <w:rsid w:val="00E76D35"/>
    <w:rsid w:val="00E87B75"/>
    <w:rsid w:val="00E94CF7"/>
    <w:rsid w:val="00EA4786"/>
    <w:rsid w:val="00EA6976"/>
    <w:rsid w:val="00EA710F"/>
    <w:rsid w:val="00EB32A0"/>
    <w:rsid w:val="00EC4EA9"/>
    <w:rsid w:val="00EC62F6"/>
    <w:rsid w:val="00EC771B"/>
    <w:rsid w:val="00ED1546"/>
    <w:rsid w:val="00ED3731"/>
    <w:rsid w:val="00EF14BC"/>
    <w:rsid w:val="00EF1747"/>
    <w:rsid w:val="00F06610"/>
    <w:rsid w:val="00F24491"/>
    <w:rsid w:val="00F249DB"/>
    <w:rsid w:val="00F252A7"/>
    <w:rsid w:val="00F30F01"/>
    <w:rsid w:val="00F31343"/>
    <w:rsid w:val="00F373FA"/>
    <w:rsid w:val="00F519E5"/>
    <w:rsid w:val="00F55627"/>
    <w:rsid w:val="00F77FBA"/>
    <w:rsid w:val="00F80CBD"/>
    <w:rsid w:val="00F85354"/>
    <w:rsid w:val="00FA0670"/>
    <w:rsid w:val="00FA21E3"/>
    <w:rsid w:val="00FA4A4E"/>
    <w:rsid w:val="00FA7395"/>
    <w:rsid w:val="00FA7727"/>
    <w:rsid w:val="00FB0235"/>
    <w:rsid w:val="00FC3D7F"/>
    <w:rsid w:val="00FC4A7B"/>
    <w:rsid w:val="00FD2EB2"/>
    <w:rsid w:val="00FD731D"/>
    <w:rsid w:val="00FE29CC"/>
    <w:rsid w:val="00FE43BC"/>
    <w:rsid w:val="00FE7073"/>
    <w:rsid w:val="18E2C908"/>
    <w:rsid w:val="4E10E759"/>
    <w:rsid w:val="604222D6"/>
    <w:rsid w:val="6238ABF1"/>
    <w:rsid w:val="771D0364"/>
    <w:rsid w:val="7DF2AC0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4EAAB2-340F-4E3E-A42C-DDD018547475}">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6732120181"/>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89011499791B4EB69D0A56FFA67F2B" ma:contentTypeVersion="15" ma:contentTypeDescription="Create a new document." ma:contentTypeScope="" ma:versionID="8e7c58268dd82da93aa9784096942dd9">
  <xsd:schema xmlns:xsd="http://www.w3.org/2001/XMLSchema" xmlns:xs="http://www.w3.org/2001/XMLSchema" xmlns:p="http://schemas.microsoft.com/office/2006/metadata/properties" xmlns:ns3="bf3e1746-bde1-4d6e-9c3f-7182572f7502" xmlns:ns4="14224164-2045-4b51-92bb-313d0f626d83" targetNamespace="http://schemas.microsoft.com/office/2006/metadata/properties" ma:root="true" ma:fieldsID="e9b854321aeb364dd4af554cf776b399" ns3:_="" ns4:_="">
    <xsd:import namespace="bf3e1746-bde1-4d6e-9c3f-7182572f7502"/>
    <xsd:import namespace="14224164-2045-4b51-92bb-313d0f626d8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e1746-bde1-4d6e-9c3f-7182572f75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224164-2045-4b51-92bb-313d0f626d8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Props1.xml><?xml version="1.0" encoding="utf-8"?>
<ds:datastoreItem xmlns:ds="http://schemas.openxmlformats.org/officeDocument/2006/customXml" ds:itemID="{4ED78F69-7969-477E-9E74-ED071015B6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e1746-bde1-4d6e-9c3f-7182572f7502"/>
    <ds:schemaRef ds:uri="14224164-2045-4b51-92bb-313d0f626d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19</Pages>
  <Words>4700</Words>
  <Characters>25852</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30492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 Manuel Machado Loaiza</cp:lastModifiedBy>
  <cp:revision>23</cp:revision>
  <cp:lastPrinted>2019-08-05T13:11:00Z</cp:lastPrinted>
  <dcterms:created xsi:type="dcterms:W3CDTF">2026-04-20T02:22:00Z</dcterms:created>
  <dcterms:modified xsi:type="dcterms:W3CDTF">2026-04-22T18:37:00Z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0x010100C089011499791B4EB69D0A56FFA67F2B</vt:lpwstr>
  </property>
  <property fmtid="{D5CDD505-2E9C-101B-9397-08002B2CF9AE}" pid="3" name="MediaServiceImageTags">
    <vt:lpwstr/>
  </property>
</Properties>
</file>