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obtenidos permiten identificar qué arquitecturas de pronóstico aportan mayor valor cuantificable en entornos de FP&amp;A, y fundamentar la propuesta de un </w:t>
      </w:r>
      <w:r>
        <w:rPr>
          <w:i/>
        </w:rPr>
        <w:t>framework</w:t>
      </w:r>
      <w:r>
        <w:t xml:space="preserve"> cuantitativo de selección de modelos que trasciende los criterios heurísticos actuales, proporcionando una base metodológica robusta para la toma de decisiones financieras en contextos organizacionales reales.</w:t>
      </w:r>
    </w:p>
    <w:p>
      <w:pPr>
        <w:pStyle w:val="Ttulo1sinnumerar"/>
      </w:pPr>
      <w:r>
        <w:t>Abstract</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 es un resultado esperado: las series de mayor volumen absoluto producen errores absolutos mayores, independientemente de su error relativo (sMAPE). Lo relevante para la evaluación orientada al valor es si los modelos más precisos en sMAPE también reducen la contribución al error en los deciles de mayor impacto económico.</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se propone el siguiente </w:t>
      </w:r>
      <w:r>
        <w:rPr>
          <w:i/>
        </w:rPr>
        <w:t>framework</w:t>
      </w:r>
      <w:r>
        <w:t xml:space="preserve"> de selección de modelos para entornos de FP&amp;A:</w:t>
      </w:r>
    </w:p>
    <w:p>
      <w:pPr/>
      <w:r>
        <w:rPr>
          <w:b/>
        </w:rPr>
        <w:t>Regla 1 (longitud de serie).</w:t>
      </w:r>
      <w:r>
        <w:t xml:space="preserve"> Para series con menos de 120 observaciones (10 años mensuales), los métodos estadísticos clásicos —preferentemente ETS o Holt-Winters con selección automática de componentes— ofrecen el mejor balance entre precisión y estabilidad. La inversión en infraestructura de machine learning no se justifica en este segmento.</w:t>
      </w:r>
    </w:p>
    <w:p>
      <w:pPr/>
      <w:r>
        <w:rPr>
          <w:b/>
        </w:rPr>
        <w:t>Regla 2 (volumen y criticidad).</w:t>
      </w:r>
      <w:r>
        <w:t xml:space="preserve"> Para las cuentas de mayor volumen financiero (deciles D8–D10), la selección del modelo debe priorizar la estabilidad temporal sobre la mínima media de error. Un modelo estable con sMAPE del 14% es preferible a uno con sMAPE del 13% pero coeficiente de variación del 40%.</w:t>
      </w:r>
    </w:p>
    <w:p>
      <w:pPr/>
      <w:r>
        <w:rPr>
          <w:b/>
        </w:rPr>
        <w:t>Regla 3 (disponibilidad de datos cross-series).</w:t>
      </w:r>
      <w:r>
        <w:t xml:space="preserve"> El paradigma de </w:t>
      </w:r>
      <w:r>
        <w:rPr>
          <w:i/>
        </w:rPr>
        <w:t>global forecasting</w:t>
      </w:r>
      <w:r>
        <w:t xml:space="preserve"> (LightGBM, MLP, N-BEATS) solo debería considerarse cuando se disponga de al menos 500 series con patrones similares o cuando las series individuales superen las 500 observaciones, umbrales en los que la literatura documenta ventajas consistentes de estos enfoques (Januschowski et al., 2020; Cerqueira et al., 2022).</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Estas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documentado en la Sección : (1) para series con menos de 120 observaciones, los métodos estadísticos clásicos ofrecen el mejor balance entre precisión y estabilidad; (2) para las cuentas de mayor volumen financiero, la estabilidad temporal debe priorizar sobre la mínima media de error; (3)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el rango de longitud habitual de las series financieras corporativas (menos de 200 observaciones mensuales), la inversión en infraestructura de machine learning no se justifica por mejoras en precisión, y puede estar contraindicada por el mayor coste de implementación, mantenimiento y explicabilidad. El </w:t>
      </w:r>
      <w:r>
        <w:rPr>
          <w:i/>
        </w:rPr>
        <w:t>framework</w:t>
      </w:r>
      <w:r>
        <w:t xml:space="preserve"> de selección propuesto ofrece, por primera vez en el contexto de FP&amp;A con este nivel de rigor metodológico, criterios cuantitativos para tomar esa decisión de forma objetiva.</w:t>
      </w:r>
    </w:p>
    <w:p>
      <w:pPr>
        <w:pStyle w:val="Heading2"/>
      </w:pPr>
      <w:r>
        <w:t>Líneas de trabajo futuro</w:t>
      </w:r>
    </w:p>
    <w:p>
      <w:pPr/>
      <w:r>
        <w:t>Las limitaciones documentadas en la Sección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