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obtenidos permiten identificar qué arquitecturas de pronóstico aportan mayor valor cuantificable en entornos de FP&amp;A, y fundamentar la propuesta de un </w:t>
      </w:r>
      <w:r>
        <w:rPr>
          <w:i/>
        </w:rPr>
        <w:t>framework</w:t>
      </w:r>
      <w:r>
        <w:t xml:space="preserve"> cuantitativo de selección de modelos que trasciende los criterios heurísticos actuales, proporcionando una base metodológica robusta para la toma de decisiones financieras en contextos organizacionales reales.</w:t>
      </w:r>
    </w:p>
    <w:p>
      <w:pPr>
        <w:pStyle w:val="Ttulo1sinnumerar"/>
      </w:pPr>
      <w:r>
        <w:t>Abstract</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documentado en la Sección : (1) para series con menos de 120 observaciones, los métodos estadísticos clásicos ofrecen el mejor balance entre precisión y estabilidad; (2) para las cuentas de mayor volumen financiero, la estabilidad temporal debe priorizar sobre la mínima media de error; (3)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el rango de longitud habitual de las series financieras corporativas (menos de 200 observaciones mensuales), la inversión en infraestructura de machine learning no se justifica por mejoras en precisión, y puede estar contraindicada por el mayor coste de implementación, mantenimiento y explicabilidad. El </w:t>
      </w:r>
      <w:r>
        <w:rPr>
          <w:i/>
        </w:rPr>
        <w:t>framework</w:t>
      </w:r>
      <w:r>
        <w:t xml:space="preserve"> de selección propuesto ofrece, por primera vez en el contexto de FP&amp;A con este nivel de rigor metodológico, criterios cuantitativos para tomar esa decisión de forma objetiva.</w:t>
      </w:r>
    </w:p>
    <w:p>
      <w:pPr>
        <w:pStyle w:val="Heading2"/>
      </w:pPr>
      <w:r>
        <w:t>Líneas de trabajo futuro</w:t>
      </w:r>
    </w:p>
    <w:p>
      <w:pPr/>
      <w:r>
        <w:t>Las limitaciones documentadas en la Sección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